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81"/>
      </w:tblGrid>
      <w:tr w:rsidR="00AE3541" w:rsidRPr="00862ECE" w:rsidTr="007D09CE">
        <w:trPr>
          <w:trHeight w:val="11295"/>
        </w:trPr>
        <w:tc>
          <w:tcPr>
            <w:tcW w:w="10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757" w:type="dxa"/>
              <w:jc w:val="center"/>
              <w:tblInd w:w="28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57"/>
              <w:gridCol w:w="2167"/>
              <w:gridCol w:w="4133"/>
            </w:tblGrid>
            <w:tr w:rsidR="00AE3541" w:rsidTr="00E65438">
              <w:trPr>
                <w:trHeight w:val="825"/>
                <w:jc w:val="center"/>
              </w:trPr>
              <w:tc>
                <w:tcPr>
                  <w:tcW w:w="44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Default="007D09CE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HAnsi"/>
                      <w:noProof/>
                      <w:lang w:eastAsia="en-US"/>
                    </w:rPr>
                    <w:drawing>
                      <wp:inline distT="0" distB="0" distL="0" distR="0">
                        <wp:extent cx="740075" cy="346665"/>
                        <wp:effectExtent l="19050" t="0" r="2875" b="0"/>
                        <wp:docPr id="1" name="Picture 0" descr="logosc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scic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162" cy="347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Pr="001B0C63" w:rsidRDefault="001B0C63" w:rsidP="001E4C13">
                  <w:pPr>
                    <w:framePr w:hSpace="180" w:wrap="around" w:vAnchor="page" w:hAnchor="margin" w:xAlign="center" w:y="391"/>
                    <w:spacing w:line="288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STATE CAPITAL INVESTMENT </w:t>
                  </w:r>
                  <w:r w:rsidR="001E4C13">
                    <w:rPr>
                      <w:b/>
                      <w:bCs/>
                      <w:sz w:val="18"/>
                      <w:szCs w:val="18"/>
                    </w:rPr>
                    <w:t>CORPORATION</w:t>
                  </w:r>
                </w:p>
              </w:tc>
              <w:tc>
                <w:tcPr>
                  <w:tcW w:w="21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1E4C13">
                  <w:pPr>
                    <w:framePr w:hSpace="180" w:wrap="around" w:vAnchor="page" w:hAnchor="margin" w:xAlign="center" w:y="391"/>
                    <w:tabs>
                      <w:tab w:val="left" w:pos="181"/>
                    </w:tabs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47675" cy="333375"/>
                        <wp:effectExtent l="19050" t="0" r="9525" b="0"/>
                        <wp:docPr id="3" name="Picture 1" descr="cid:image007.jpg@01D243EE.861360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243EE.861360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541" w:rsidRDefault="00AE3541" w:rsidP="00E65438">
                  <w:pPr>
                    <w:framePr w:hSpace="180" w:wrap="around" w:vAnchor="page" w:hAnchor="margin" w:xAlign="center" w:y="391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</w:p>
                <w:p w:rsidR="00AE3541" w:rsidRDefault="00916B01" w:rsidP="00916B01">
                  <w:pPr>
                    <w:spacing w:line="288" w:lineRule="auto"/>
                    <w:jc w:val="center"/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HAnsi"/>
                      <w:b/>
                      <w:bCs/>
                      <w:sz w:val="18"/>
                      <w:szCs w:val="18"/>
                    </w:rPr>
                    <w:t>SAIGON SECURITIES INCORPORATION</w:t>
                  </w:r>
                </w:p>
              </w:tc>
            </w:tr>
          </w:tbl>
          <w:p w:rsidR="00AE3541" w:rsidRPr="00AE3541" w:rsidRDefault="00AE3541" w:rsidP="00AE3541">
            <w:pPr>
              <w:pStyle w:val="Caption"/>
              <w:spacing w:after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AE354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B0C63">
              <w:rPr>
                <w:rFonts w:cs="Times New Roman"/>
                <w:b/>
                <w:sz w:val="20"/>
                <w:szCs w:val="20"/>
              </w:rPr>
              <w:t xml:space="preserve">ANNOUCEMENT REGARDING THE COMPETITIVE OFFERING </w:t>
            </w:r>
          </w:p>
          <w:p w:rsidR="00AE3541" w:rsidRPr="00AE3541" w:rsidRDefault="001B0C63" w:rsidP="00AE3541">
            <w:pPr>
              <w:pStyle w:val="Caption"/>
              <w:spacing w:before="4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OF STAKE OWNED BY SCIC IN VIETNAM DAIRY</w:t>
            </w:r>
            <w:r w:rsidR="00FA0036">
              <w:rPr>
                <w:rFonts w:cs="Times New Roman"/>
                <w:b/>
                <w:sz w:val="20"/>
                <w:szCs w:val="20"/>
              </w:rPr>
              <w:t xml:space="preserve"> PRODUCTS</w:t>
            </w:r>
            <w:r>
              <w:rPr>
                <w:rFonts w:cs="Times New Roman"/>
                <w:b/>
                <w:sz w:val="20"/>
                <w:szCs w:val="20"/>
              </w:rPr>
              <w:t xml:space="preserve"> JOINT STOCK COMPANY</w:t>
            </w:r>
          </w:p>
          <w:p w:rsidR="00AE3541" w:rsidRDefault="00AE3541" w:rsidP="00AE3541">
            <w:pPr>
              <w:pStyle w:val="Caption"/>
              <w:spacing w:before="40" w:after="0"/>
              <w:jc w:val="center"/>
              <w:rPr>
                <w:rFonts w:cs="Times New Roman"/>
                <w:b/>
                <w:sz w:val="2"/>
                <w:szCs w:val="20"/>
              </w:rPr>
            </w:pPr>
          </w:p>
          <w:p w:rsidR="001B0C63" w:rsidRPr="00AE3541" w:rsidRDefault="001B0C63" w:rsidP="00AE3541">
            <w:pPr>
              <w:pStyle w:val="Caption"/>
              <w:spacing w:before="40" w:after="0"/>
              <w:jc w:val="center"/>
              <w:rPr>
                <w:rFonts w:cs="Times New Roman"/>
                <w:b/>
                <w:sz w:val="2"/>
                <w:szCs w:val="20"/>
              </w:rPr>
            </w:pPr>
          </w:p>
          <w:p w:rsidR="00AE3541" w:rsidRPr="00862ECE" w:rsidRDefault="001B0C63" w:rsidP="00E65438">
            <w:pPr>
              <w:pStyle w:val="ListParagraph"/>
              <w:spacing w:before="40" w:after="40" w:line="288" w:lineRule="auto"/>
              <w:ind w:left="0"/>
              <w:jc w:val="both"/>
              <w:rPr>
                <w:i/>
                <w:iCs/>
                <w:sz w:val="20"/>
                <w:szCs w:val="20"/>
                <w:lang w:eastAsia="vi-VN"/>
              </w:rPr>
            </w:pPr>
            <w:r>
              <w:rPr>
                <w:i/>
                <w:iCs/>
                <w:spacing w:val="-4"/>
                <w:sz w:val="20"/>
                <w:szCs w:val="20"/>
              </w:rPr>
              <w:t>Pursuant to</w:t>
            </w:r>
            <w:r w:rsidR="00AE3541"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Decision No.</w:t>
            </w:r>
            <w:r w:rsidR="00916B01" w:rsidRPr="007326E8">
              <w:rPr>
                <w:i/>
                <w:iCs/>
                <w:spacing w:val="-4"/>
                <w:sz w:val="20"/>
                <w:szCs w:val="20"/>
              </w:rPr>
              <w:t xml:space="preserve"> 87/QĐ-ĐTKDV.HĐTV </w:t>
            </w:r>
            <w:r w:rsidR="00916B01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16B01">
              <w:rPr>
                <w:i/>
                <w:iCs/>
                <w:spacing w:val="-4"/>
                <w:sz w:val="20"/>
                <w:szCs w:val="20"/>
              </w:rPr>
              <w:t xml:space="preserve">on </w:t>
            </w:r>
            <w:r w:rsidR="00916B01" w:rsidRPr="00916B01">
              <w:rPr>
                <w:i/>
                <w:iCs/>
                <w:spacing w:val="-4"/>
                <w:sz w:val="20"/>
                <w:szCs w:val="20"/>
              </w:rPr>
              <w:t>2</w:t>
            </w:r>
            <w:r w:rsidR="0032211B">
              <w:rPr>
                <w:i/>
                <w:iCs/>
                <w:spacing w:val="-4"/>
                <w:sz w:val="20"/>
                <w:szCs w:val="20"/>
              </w:rPr>
              <w:t>8</w:t>
            </w:r>
            <w:r w:rsidR="00AE3541" w:rsidRPr="00916B01">
              <w:rPr>
                <w:i/>
                <w:iCs/>
                <w:spacing w:val="-4"/>
                <w:sz w:val="20"/>
                <w:szCs w:val="20"/>
              </w:rPr>
              <w:t>/11/2016</w:t>
            </w:r>
            <w:r w:rsidR="00AE3541"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of the </w:t>
            </w:r>
            <w:r w:rsidR="001E4C13">
              <w:rPr>
                <w:i/>
                <w:iCs/>
                <w:spacing w:val="-4"/>
                <w:sz w:val="20"/>
                <w:szCs w:val="20"/>
              </w:rPr>
              <w:t>Board of the Directors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of the State Capital Investment </w:t>
            </w:r>
            <w:r w:rsidR="001E4C13">
              <w:rPr>
                <w:i/>
                <w:iCs/>
                <w:spacing w:val="-4"/>
                <w:sz w:val="20"/>
                <w:szCs w:val="20"/>
              </w:rPr>
              <w:t xml:space="preserve">Corporation </w:t>
            </w:r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</w:rPr>
              <w:t>“</w:t>
            </w:r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>SCIC</w:t>
            </w:r>
            <w:r>
              <w:rPr>
                <w:i/>
                <w:iCs/>
                <w:spacing w:val="-4"/>
                <w:sz w:val="20"/>
                <w:szCs w:val="20"/>
              </w:rPr>
              <w:t>”</w:t>
            </w:r>
            <w:r w:rsidR="0005389B" w:rsidRPr="0005389B">
              <w:rPr>
                <w:i/>
                <w:iCs/>
                <w:spacing w:val="-4"/>
                <w:sz w:val="20"/>
                <w:szCs w:val="20"/>
              </w:rPr>
              <w:t xml:space="preserve">) 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with respect to the competitive offering of stake owned by SCIC in Vietnam Dairy </w:t>
            </w:r>
            <w:r w:rsidR="00FA0036">
              <w:rPr>
                <w:i/>
                <w:iCs/>
                <w:spacing w:val="-4"/>
                <w:sz w:val="20"/>
                <w:szCs w:val="20"/>
              </w:rPr>
              <w:t xml:space="preserve">Products </w:t>
            </w:r>
            <w:r>
              <w:rPr>
                <w:i/>
                <w:iCs/>
                <w:spacing w:val="-4"/>
                <w:sz w:val="20"/>
                <w:szCs w:val="20"/>
              </w:rPr>
              <w:t>Joint Stock Company (“</w:t>
            </w:r>
            <w:proofErr w:type="spellStart"/>
            <w:r w:rsidR="00FA0036">
              <w:rPr>
                <w:i/>
                <w:iCs/>
                <w:spacing w:val="-4"/>
                <w:sz w:val="20"/>
                <w:szCs w:val="20"/>
              </w:rPr>
              <w:t>Vinamilk</w:t>
            </w:r>
            <w:proofErr w:type="spellEnd"/>
            <w:r>
              <w:rPr>
                <w:i/>
                <w:iCs/>
                <w:spacing w:val="-4"/>
                <w:sz w:val="20"/>
                <w:szCs w:val="20"/>
              </w:rPr>
              <w:t>”)</w:t>
            </w:r>
            <w:r w:rsidR="00AE3541" w:rsidRPr="0005389B">
              <w:rPr>
                <w:i/>
                <w:iCs/>
                <w:spacing w:val="-4"/>
                <w:sz w:val="20"/>
                <w:szCs w:val="20"/>
              </w:rPr>
              <w:t>, SCIC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would like to announce the detail</w:t>
            </w:r>
            <w:r w:rsidR="00FA0036">
              <w:rPr>
                <w:i/>
                <w:iCs/>
                <w:spacing w:val="-4"/>
                <w:sz w:val="20"/>
                <w:szCs w:val="20"/>
              </w:rPr>
              <w:t>s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of the Competitive Offering of </w:t>
            </w:r>
            <w:proofErr w:type="spellStart"/>
            <w:r>
              <w:rPr>
                <w:i/>
                <w:iCs/>
                <w:spacing w:val="-4"/>
                <w:sz w:val="20"/>
                <w:szCs w:val="20"/>
              </w:rPr>
              <w:t>V</w:t>
            </w:r>
            <w:r w:rsidR="00FA0036">
              <w:rPr>
                <w:i/>
                <w:iCs/>
                <w:spacing w:val="-4"/>
                <w:sz w:val="20"/>
                <w:szCs w:val="20"/>
              </w:rPr>
              <w:t>inamilk</w:t>
            </w:r>
            <w:proofErr w:type="spellEnd"/>
            <w:r w:rsidR="00FA0036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shares</w:t>
            </w:r>
            <w:r w:rsidR="00AE3541" w:rsidRPr="0005389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as below</w:t>
            </w:r>
            <w:r w:rsidR="00AE3541" w:rsidRPr="00862ECE">
              <w:rPr>
                <w:i/>
                <w:iCs/>
                <w:sz w:val="20"/>
                <w:szCs w:val="20"/>
              </w:rPr>
              <w:t>:</w:t>
            </w:r>
          </w:p>
          <w:p w:rsidR="00AE3541" w:rsidRPr="00862ECE" w:rsidRDefault="00AE3541" w:rsidP="007D09C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  <w:lang w:eastAsia="en-US"/>
              </w:rPr>
            </w:pPr>
            <w:r w:rsidRPr="00862ECE">
              <w:rPr>
                <w:b/>
                <w:bCs/>
                <w:sz w:val="20"/>
                <w:szCs w:val="20"/>
              </w:rPr>
              <w:t>T</w:t>
            </w:r>
            <w:r w:rsidR="001B0C63">
              <w:rPr>
                <w:b/>
                <w:bCs/>
                <w:sz w:val="20"/>
                <w:szCs w:val="20"/>
              </w:rPr>
              <w:t>he Company</w:t>
            </w:r>
            <w:r w:rsidR="007D09CE">
              <w:rPr>
                <w:b/>
                <w:bCs/>
                <w:sz w:val="20"/>
                <w:szCs w:val="20"/>
              </w:rPr>
              <w:t>:         </w:t>
            </w:r>
            <w:r w:rsidR="001B0C63">
              <w:rPr>
                <w:b/>
                <w:bCs/>
                <w:sz w:val="20"/>
                <w:szCs w:val="20"/>
              </w:rPr>
              <w:t xml:space="preserve">VIENAM DAIRY </w:t>
            </w:r>
            <w:r w:rsidR="00FA0036">
              <w:rPr>
                <w:b/>
                <w:bCs/>
                <w:sz w:val="20"/>
                <w:szCs w:val="20"/>
              </w:rPr>
              <w:t xml:space="preserve">PRODUCTS </w:t>
            </w:r>
            <w:r w:rsidR="001B0C63">
              <w:rPr>
                <w:b/>
                <w:bCs/>
                <w:sz w:val="20"/>
                <w:szCs w:val="20"/>
              </w:rPr>
              <w:t xml:space="preserve">JOINT STOCK COMPANY </w:t>
            </w:r>
          </w:p>
          <w:p w:rsidR="00AE3541" w:rsidRPr="00862ECE" w:rsidRDefault="00AE3541" w:rsidP="007D09CE">
            <w:pPr>
              <w:tabs>
                <w:tab w:val="left" w:pos="3119"/>
              </w:tabs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B0C63">
              <w:rPr>
                <w:sz w:val="20"/>
                <w:szCs w:val="20"/>
              </w:rPr>
              <w:t xml:space="preserve">Address: No </w:t>
            </w:r>
            <w:r w:rsidRPr="00862ECE">
              <w:rPr>
                <w:sz w:val="20"/>
                <w:szCs w:val="20"/>
              </w:rPr>
              <w:t>10</w:t>
            </w:r>
            <w:r w:rsidR="001B0C63">
              <w:rPr>
                <w:sz w:val="20"/>
                <w:szCs w:val="20"/>
              </w:rPr>
              <w:t xml:space="preserve"> Tân Trao, Tân Phu Ward, District 7, </w:t>
            </w:r>
            <w:r w:rsidRPr="00862ECE">
              <w:rPr>
                <w:sz w:val="20"/>
                <w:szCs w:val="20"/>
              </w:rPr>
              <w:t xml:space="preserve"> HCM</w:t>
            </w:r>
            <w:r w:rsidR="001B0C6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  <w:r w:rsidRPr="00862ECE">
              <w:rPr>
                <w:sz w:val="20"/>
                <w:szCs w:val="20"/>
              </w:rPr>
              <w:t>     </w:t>
            </w:r>
            <w:r w:rsidR="001B0C63">
              <w:rPr>
                <w:sz w:val="20"/>
                <w:szCs w:val="20"/>
              </w:rPr>
              <w:t>Telephone</w:t>
            </w:r>
            <w:r w:rsidRPr="00862ECE">
              <w:rPr>
                <w:sz w:val="20"/>
                <w:szCs w:val="20"/>
              </w:rPr>
              <w:t>: (84-8) 5415 5555                  Fax: (84-8) 5416 122</w:t>
            </w:r>
          </w:p>
          <w:p w:rsidR="00AE3541" w:rsidRPr="00862ECE" w:rsidRDefault="001B0C63" w:rsidP="007D09C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businesses</w:t>
            </w:r>
            <w:r w:rsidR="00AE3541" w:rsidRPr="001B0C63">
              <w:rPr>
                <w:bCs/>
                <w:sz w:val="20"/>
                <w:szCs w:val="20"/>
              </w:rPr>
              <w:t>:        </w:t>
            </w:r>
            <w:r w:rsidRPr="001B0C63">
              <w:rPr>
                <w:bCs/>
                <w:sz w:val="20"/>
                <w:szCs w:val="20"/>
              </w:rPr>
              <w:t>processing,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manufacturing</w:t>
            </w:r>
            <w:r w:rsidR="00AE3541" w:rsidRPr="00862E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and trading of fresh milk, powder milk</w:t>
            </w:r>
            <w:r w:rsidR="00AE3541" w:rsidRPr="00862E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UHT milk, nutritious flour</w:t>
            </w:r>
            <w:r w:rsidR="00AE3541" w:rsidRPr="00862E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soy milk</w:t>
            </w:r>
            <w:r w:rsidR="00AE3541" w:rsidRPr="00862E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beverage and other products from milk; farming, feeding…</w:t>
            </w:r>
            <w:r w:rsidR="00AE3541" w:rsidRPr="00862ECE">
              <w:rPr>
                <w:sz w:val="20"/>
                <w:szCs w:val="20"/>
              </w:rPr>
              <w:t>v.v.</w:t>
            </w:r>
          </w:p>
          <w:p w:rsidR="00AE3541" w:rsidRPr="00862ECE" w:rsidRDefault="001B0C63" w:rsidP="007D09CE">
            <w:pPr>
              <w:pStyle w:val="ListParagraph"/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Charter capital</w:t>
            </w:r>
            <w:r w:rsidR="00AE3541" w:rsidRPr="00862ECE">
              <w:rPr>
                <w:b/>
                <w:bCs/>
                <w:sz w:val="20"/>
                <w:szCs w:val="20"/>
              </w:rPr>
              <w:t>:    </w:t>
            </w:r>
            <w:r>
              <w:rPr>
                <w:b/>
                <w:bCs/>
                <w:sz w:val="20"/>
                <w:szCs w:val="20"/>
              </w:rPr>
              <w:t>              </w:t>
            </w:r>
            <w:r w:rsidRPr="00BF2FD0">
              <w:rPr>
                <w:bCs/>
                <w:sz w:val="20"/>
                <w:szCs w:val="20"/>
              </w:rPr>
              <w:t> </w:t>
            </w:r>
            <w:r w:rsidR="00BF2FD0" w:rsidRPr="00BF2FD0">
              <w:rPr>
                <w:bCs/>
                <w:sz w:val="20"/>
                <w:szCs w:val="20"/>
              </w:rPr>
              <w:t>VND</w:t>
            </w:r>
            <w:r w:rsidR="00BF2FD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14,514,534,290,000 </w:t>
            </w:r>
          </w:p>
          <w:p w:rsidR="00AE3541" w:rsidRPr="005C395E" w:rsidRDefault="001B0C63" w:rsidP="007D09C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shares offered</w:t>
            </w:r>
            <w:r w:rsidR="00AE3541" w:rsidRPr="00862ECE">
              <w:rPr>
                <w:b/>
                <w:bCs/>
                <w:sz w:val="20"/>
                <w:szCs w:val="20"/>
              </w:rPr>
              <w:t>:</w:t>
            </w:r>
            <w:r w:rsidR="007D09CE">
              <w:rPr>
                <w:b/>
                <w:bCs/>
                <w:color w:val="FF0000"/>
                <w:sz w:val="20"/>
                <w:szCs w:val="20"/>
              </w:rPr>
              <w:t>          </w:t>
            </w:r>
            <w:r w:rsidR="00AE3541" w:rsidRPr="00862ECE">
              <w:rPr>
                <w:b/>
                <w:bCs/>
                <w:color w:val="FF0000"/>
                <w:sz w:val="20"/>
                <w:szCs w:val="20"/>
              </w:rPr>
              <w:t> </w:t>
            </w:r>
            <w:r w:rsidRPr="00C933DD">
              <w:rPr>
                <w:b/>
                <w:bCs/>
                <w:sz w:val="20"/>
                <w:szCs w:val="20"/>
              </w:rPr>
              <w:t>130,630,</w:t>
            </w:r>
            <w:r w:rsidR="00AE3541" w:rsidRPr="00C933DD">
              <w:rPr>
                <w:b/>
                <w:bCs/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common shares; Total par value</w:t>
            </w:r>
            <w:r w:rsidR="00AE3541" w:rsidRPr="00862ECE">
              <w:rPr>
                <w:sz w:val="20"/>
                <w:szCs w:val="20"/>
              </w:rPr>
              <w:t xml:space="preserve">: </w:t>
            </w:r>
            <w:r w:rsidR="00BF2FD0">
              <w:rPr>
                <w:sz w:val="20"/>
                <w:szCs w:val="20"/>
              </w:rPr>
              <w:t xml:space="preserve">VND </w:t>
            </w:r>
            <w:r>
              <w:rPr>
                <w:sz w:val="20"/>
                <w:szCs w:val="20"/>
              </w:rPr>
              <w:t>1,306,305,000,</w:t>
            </w:r>
            <w:r w:rsidR="00AE354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, equivalent to</w:t>
            </w:r>
            <w:r w:rsidR="00AE3541" w:rsidRPr="00862ECE">
              <w:rPr>
                <w:sz w:val="20"/>
                <w:szCs w:val="20"/>
              </w:rPr>
              <w:t xml:space="preserve"> </w:t>
            </w:r>
            <w:r w:rsidR="00AE3541" w:rsidRPr="005C395E">
              <w:rPr>
                <w:sz w:val="20"/>
                <w:szCs w:val="20"/>
              </w:rPr>
              <w:t xml:space="preserve">9% </w:t>
            </w:r>
            <w:proofErr w:type="spellStart"/>
            <w:r w:rsidR="00277C9C">
              <w:rPr>
                <w:sz w:val="20"/>
                <w:szCs w:val="20"/>
              </w:rPr>
              <w:t>V</w:t>
            </w:r>
            <w:r w:rsidR="00FA0036">
              <w:rPr>
                <w:sz w:val="20"/>
                <w:szCs w:val="20"/>
              </w:rPr>
              <w:t>inamilk</w:t>
            </w:r>
            <w:r w:rsidR="00277C9C">
              <w:rPr>
                <w:sz w:val="20"/>
                <w:szCs w:val="20"/>
              </w:rPr>
              <w:t>’s</w:t>
            </w:r>
            <w:proofErr w:type="spellEnd"/>
            <w:r w:rsidR="00277C9C">
              <w:rPr>
                <w:sz w:val="20"/>
                <w:szCs w:val="20"/>
              </w:rPr>
              <w:t xml:space="preserve"> Chartered Capital)</w:t>
            </w:r>
          </w:p>
          <w:p w:rsidR="00AE3541" w:rsidRPr="00862ECE" w:rsidRDefault="009C178D" w:rsidP="007D09C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Conditions to participate</w:t>
            </w:r>
            <w:r w:rsidR="00AE3541" w:rsidRPr="00862ECE">
              <w:rPr>
                <w:b/>
                <w:bCs/>
                <w:sz w:val="20"/>
                <w:szCs w:val="20"/>
                <w:lang w:val="vi-VN"/>
              </w:rPr>
              <w:t>:</w:t>
            </w:r>
            <w:r w:rsidR="00AE3541" w:rsidRPr="00862ECE">
              <w:rPr>
                <w:b/>
                <w:bCs/>
                <w:sz w:val="20"/>
                <w:szCs w:val="20"/>
              </w:rPr>
              <w:t>                      </w:t>
            </w:r>
            <w:r>
              <w:rPr>
                <w:sz w:val="20"/>
                <w:szCs w:val="20"/>
              </w:rPr>
              <w:t xml:space="preserve">all investors satisfied the conditions to invest as described at the </w:t>
            </w:r>
            <w:r w:rsidR="001E4C13">
              <w:rPr>
                <w:sz w:val="20"/>
                <w:szCs w:val="20"/>
              </w:rPr>
              <w:t xml:space="preserve">Regulations on </w:t>
            </w:r>
            <w:r>
              <w:rPr>
                <w:sz w:val="20"/>
                <w:szCs w:val="20"/>
              </w:rPr>
              <w:t>Competitive Offering</w:t>
            </w:r>
            <w:r w:rsidR="00AE3541" w:rsidRPr="00862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issued by SCIC with respect to this transaction</w:t>
            </w:r>
            <w:r w:rsidR="001E4C13">
              <w:rPr>
                <w:sz w:val="20"/>
                <w:szCs w:val="20"/>
              </w:rPr>
              <w:t xml:space="preserve"> (Regulations)</w:t>
            </w:r>
            <w:r>
              <w:rPr>
                <w:sz w:val="20"/>
                <w:szCs w:val="20"/>
              </w:rPr>
              <w:t xml:space="preserve">. </w:t>
            </w:r>
          </w:p>
          <w:p w:rsidR="00AE3541" w:rsidRPr="0054467C" w:rsidRDefault="009C178D" w:rsidP="007D09C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Financial Advisors</w:t>
            </w:r>
            <w:r w:rsidR="007D09CE">
              <w:rPr>
                <w:b/>
                <w:bCs/>
                <w:sz w:val="20"/>
                <w:szCs w:val="20"/>
              </w:rPr>
              <w:t xml:space="preserve">:                             </w:t>
            </w:r>
            <w:r>
              <w:rPr>
                <w:sz w:val="20"/>
                <w:szCs w:val="20"/>
              </w:rPr>
              <w:t>consortium advisors include</w:t>
            </w:r>
            <w:r w:rsidR="00AE3541" w:rsidRPr="0054467C">
              <w:rPr>
                <w:sz w:val="20"/>
                <w:szCs w:val="20"/>
              </w:rPr>
              <w:t>: Morgan S</w:t>
            </w:r>
            <w:r>
              <w:rPr>
                <w:sz w:val="20"/>
                <w:szCs w:val="20"/>
              </w:rPr>
              <w:t>tanley Asia (Singapore) Limited, Saigon Securities Incorporation</w:t>
            </w:r>
            <w:r w:rsidR="00AE3541" w:rsidRPr="005446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</w:t>
            </w:r>
            <w:r w:rsidR="00AE3541" w:rsidRPr="0054467C">
              <w:rPr>
                <w:sz w:val="20"/>
                <w:szCs w:val="20"/>
              </w:rPr>
              <w:t>Vin</w:t>
            </w:r>
            <w:r>
              <w:rPr>
                <w:sz w:val="20"/>
                <w:szCs w:val="20"/>
              </w:rPr>
              <w:t>aCapital Corporate Finance Vietn</w:t>
            </w:r>
            <w:r w:rsidR="00AE3541" w:rsidRPr="0054467C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Limited.</w:t>
            </w:r>
          </w:p>
          <w:p w:rsidR="00AE3541" w:rsidRPr="00862ECE" w:rsidRDefault="009C178D" w:rsidP="007D09CE">
            <w:pPr>
              <w:numPr>
                <w:ilvl w:val="0"/>
                <w:numId w:val="1"/>
              </w:numPr>
              <w:tabs>
                <w:tab w:val="left" w:pos="3119"/>
              </w:tabs>
              <w:suppressAutoHyphens w:val="0"/>
              <w:spacing w:before="40" w:after="40" w:line="288" w:lineRule="auto"/>
              <w:ind w:left="322" w:hanging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Competitive Offering Organizer</w:t>
            </w:r>
            <w:r w:rsidR="00AE3541" w:rsidRPr="00862ECE">
              <w:rPr>
                <w:b/>
                <w:bCs/>
                <w:sz w:val="20"/>
                <w:szCs w:val="20"/>
              </w:rPr>
              <w:t>:         </w:t>
            </w:r>
            <w:r>
              <w:rPr>
                <w:b/>
                <w:bCs/>
                <w:sz w:val="20"/>
                <w:szCs w:val="20"/>
              </w:rPr>
              <w:t xml:space="preserve"> the Ho Chi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 Minh</w:t>
            </w:r>
            <w:r>
              <w:rPr>
                <w:b/>
                <w:bCs/>
                <w:sz w:val="20"/>
                <w:szCs w:val="20"/>
              </w:rPr>
              <w:t xml:space="preserve"> Stock Exchange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 (HOSE)</w:t>
            </w:r>
          </w:p>
          <w:p w:rsidR="00AE3541" w:rsidRPr="00862ECE" w:rsidRDefault="009C178D" w:rsidP="00AE3541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 of the Competitive Offering</w:t>
            </w:r>
            <w:r w:rsidR="00AE3541" w:rsidRPr="00862ECE">
              <w:rPr>
                <w:b/>
                <w:bCs/>
                <w:sz w:val="20"/>
                <w:szCs w:val="20"/>
              </w:rPr>
              <w:t>:</w:t>
            </w:r>
          </w:p>
          <w:tbl>
            <w:tblPr>
              <w:tblW w:w="1126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03"/>
              <w:gridCol w:w="241"/>
              <w:gridCol w:w="2033"/>
              <w:gridCol w:w="239"/>
              <w:gridCol w:w="176"/>
              <w:gridCol w:w="1859"/>
              <w:gridCol w:w="491"/>
              <w:gridCol w:w="237"/>
              <w:gridCol w:w="2574"/>
              <w:gridCol w:w="237"/>
              <w:gridCol w:w="279"/>
            </w:tblGrid>
            <w:tr w:rsidR="00AE3541" w:rsidRPr="00862ECE" w:rsidTr="00916B01">
              <w:trPr>
                <w:gridAfter w:val="2"/>
                <w:wAfter w:w="229" w:type="pct"/>
                <w:trHeight w:val="291"/>
              </w:trPr>
              <w:tc>
                <w:tcPr>
                  <w:tcW w:w="128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C178D" w:rsidP="00AE3541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332" w:hanging="274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shares offered:</w:t>
                  </w:r>
                </w:p>
              </w:tc>
              <w:tc>
                <w:tcPr>
                  <w:tcW w:w="1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9C178D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130,630,</w:t>
                  </w:r>
                  <w:r w:rsidR="00AE3541" w:rsidRPr="0019173D">
                    <w:rPr>
                      <w:b/>
                      <w:sz w:val="20"/>
                      <w:szCs w:val="20"/>
                    </w:rPr>
                    <w:t xml:space="preserve">500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shares</w:t>
                  </w:r>
                </w:p>
              </w:tc>
              <w:tc>
                <w:tcPr>
                  <w:tcW w:w="10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19173D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3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C178D" w:rsidP="00AE3541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517" w:hanging="270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Initial price</w:t>
                  </w:r>
                  <w:r w:rsidR="00AE3541" w:rsidRPr="00862ECE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7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16B01" w:rsidP="00916B01">
                  <w:pPr>
                    <w:framePr w:hSpace="180" w:wrap="around" w:vAnchor="page" w:hAnchor="margin" w:xAlign="center" w:y="391"/>
                    <w:spacing w:line="252" w:lineRule="auto"/>
                    <w:jc w:val="both"/>
                    <w:rPr>
                      <w:rFonts w:eastAsia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BF2FD0">
                    <w:rPr>
                      <w:b/>
                      <w:bCs/>
                      <w:sz w:val="20"/>
                      <w:szCs w:val="20"/>
                    </w:rPr>
                    <w:t xml:space="preserve">VND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144,</w:t>
                  </w:r>
                  <w:r w:rsidR="00AE3541">
                    <w:rPr>
                      <w:b/>
                      <w:bCs/>
                      <w:sz w:val="20"/>
                      <w:szCs w:val="20"/>
                    </w:rPr>
                    <w:t xml:space="preserve">000 </w:t>
                  </w:r>
                  <w:r w:rsidR="00AE3541" w:rsidRPr="00862ECE">
                    <w:rPr>
                      <w:b/>
                      <w:bCs/>
                      <w:sz w:val="20"/>
                      <w:szCs w:val="20"/>
                    </w:rPr>
                    <w:t xml:space="preserve">/ </w:t>
                  </w:r>
                  <w:r w:rsidR="009C178D">
                    <w:rPr>
                      <w:b/>
                      <w:bCs/>
                      <w:sz w:val="20"/>
                      <w:szCs w:val="20"/>
                    </w:rPr>
                    <w:t>share</w:t>
                  </w:r>
                </w:p>
              </w:tc>
            </w:tr>
            <w:tr w:rsidR="00AE3541" w:rsidRPr="00862ECE" w:rsidTr="00916B01">
              <w:trPr>
                <w:gridAfter w:val="1"/>
                <w:wAfter w:w="124" w:type="pct"/>
                <w:trHeight w:val="291"/>
              </w:trPr>
              <w:tc>
                <w:tcPr>
                  <w:tcW w:w="128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C178D" w:rsidP="00AE3541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332" w:hanging="274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Type of share offered</w:t>
                  </w:r>
                  <w:r w:rsidR="00AE3541" w:rsidRPr="00862ECE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C178D" w:rsidP="009C178D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Common shares</w:t>
                  </w:r>
                </w:p>
              </w:tc>
              <w:tc>
                <w:tcPr>
                  <w:tcW w:w="184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43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16B01" w:rsidP="00AE3541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Incremental bid</w:t>
                  </w:r>
                  <w:r w:rsidR="00AE3541" w:rsidRPr="00862ECE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7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BF2FD0" w:rsidP="00BF2FD0">
                  <w:pPr>
                    <w:framePr w:hSpace="180" w:wrap="around" w:vAnchor="page" w:hAnchor="margin" w:xAlign="center" w:y="391"/>
                    <w:spacing w:line="252" w:lineRule="auto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VND </w:t>
                  </w:r>
                  <w:r w:rsidR="009C178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AE3541" w:rsidRPr="00862ECE" w:rsidTr="00916B01">
              <w:trPr>
                <w:gridAfter w:val="1"/>
                <w:wAfter w:w="124" w:type="pct"/>
                <w:trHeight w:val="291"/>
              </w:trPr>
              <w:tc>
                <w:tcPr>
                  <w:tcW w:w="128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C178D" w:rsidP="00AE3541">
                  <w:pPr>
                    <w:framePr w:hSpace="180" w:wrap="around" w:vAnchor="page" w:hAnchor="margin" w:xAlign="center" w:y="391"/>
                    <w:numPr>
                      <w:ilvl w:val="0"/>
                      <w:numId w:val="2"/>
                    </w:numPr>
                    <w:suppressAutoHyphens w:val="0"/>
                    <w:spacing w:line="252" w:lineRule="auto"/>
                    <w:ind w:left="332" w:hanging="274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</w:t>
                  </w:r>
                  <w:r w:rsidR="00AE3541" w:rsidRPr="00862ECE">
                    <w:rPr>
                      <w:sz w:val="20"/>
                      <w:szCs w:val="20"/>
                    </w:rPr>
                    <w:t>:</w:t>
                  </w:r>
                  <w:r w:rsidR="00AE35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BF2FD0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VND </w:t>
                  </w:r>
                  <w:r w:rsidR="00916B01">
                    <w:rPr>
                      <w:sz w:val="20"/>
                      <w:szCs w:val="20"/>
                    </w:rPr>
                    <w:t>10,</w:t>
                  </w:r>
                  <w:r w:rsidR="009C178D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43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862ECE" w:rsidRDefault="00916B01" w:rsidP="00AE3541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Incremental volume</w:t>
                  </w:r>
                  <w:r w:rsidR="00AE3541" w:rsidRPr="00862ECE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3541" w:rsidRPr="00862ECE" w:rsidRDefault="00AE3541" w:rsidP="00E65438">
                  <w:pPr>
                    <w:framePr w:hSpace="180" w:wrap="around" w:vAnchor="page" w:hAnchor="margin" w:xAlign="center" w:y="391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7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4979C6" w:rsidP="004979C6">
                  <w:pPr>
                    <w:framePr w:hSpace="180" w:wrap="around" w:vAnchor="page" w:hAnchor="margin" w:xAlign="center" w:y="391"/>
                    <w:spacing w:line="252" w:lineRule="auto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nl-NL"/>
                    </w:rPr>
                    <w:t>10</w:t>
                  </w:r>
                  <w:r w:rsidR="00916B01">
                    <w:rPr>
                      <w:sz w:val="20"/>
                      <w:szCs w:val="20"/>
                      <w:lang w:val="nl-NL"/>
                    </w:rPr>
                    <w:t xml:space="preserve"> shares</w:t>
                  </w:r>
                </w:p>
              </w:tc>
            </w:tr>
            <w:tr w:rsidR="00AE3541" w:rsidRPr="00862ECE" w:rsidTr="00916B01">
              <w:trPr>
                <w:trHeight w:val="291"/>
              </w:trPr>
              <w:tc>
                <w:tcPr>
                  <w:tcW w:w="5000" w:type="pct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9C178D" w:rsidP="00C35004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332" w:right="451" w:hanging="274"/>
                    <w:jc w:val="both"/>
                    <w:rPr>
                      <w:rFonts w:eastAsiaTheme="minorHAnsi"/>
                      <w:sz w:val="20"/>
                      <w:szCs w:val="20"/>
                      <w:lang w:val="nl-NL"/>
                    </w:rPr>
                  </w:pPr>
                  <w:r>
                    <w:rPr>
                      <w:sz w:val="20"/>
                      <w:szCs w:val="20"/>
                    </w:rPr>
                    <w:t>Minimum volume individual, instituti</w:t>
                  </w:r>
                  <w:r w:rsidR="004979C6">
                    <w:rPr>
                      <w:sz w:val="20"/>
                      <w:szCs w:val="20"/>
                    </w:rPr>
                    <w:t xml:space="preserve">on investor can register: </w:t>
                  </w:r>
                  <w:r w:rsidR="00882C4C">
                    <w:rPr>
                      <w:sz w:val="20"/>
                      <w:szCs w:val="20"/>
                    </w:rPr>
                    <w:t>20,000</w:t>
                  </w:r>
                  <w:r w:rsidR="00AE3541" w:rsidRPr="001917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shares</w:t>
                  </w:r>
                  <w:r w:rsidR="00BF2FD0">
                    <w:rPr>
                      <w:sz w:val="20"/>
                      <w:szCs w:val="20"/>
                    </w:rPr>
                    <w:t xml:space="preserve"> </w:t>
                  </w:r>
                  <w:r w:rsidR="00C35004">
                    <w:rPr>
                      <w:sz w:val="20"/>
                      <w:szCs w:val="20"/>
                    </w:rPr>
                    <w:t>(to meet the requirements of put through trading regulated by HOSE)</w:t>
                  </w:r>
                </w:p>
              </w:tc>
            </w:tr>
            <w:tr w:rsidR="00AE3541" w:rsidRPr="00862ECE" w:rsidTr="00916B01">
              <w:trPr>
                <w:trHeight w:val="291"/>
              </w:trPr>
              <w:tc>
                <w:tcPr>
                  <w:tcW w:w="5000" w:type="pct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9C178D" w:rsidP="00FA0036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  <w:lang w:val="nl-NL"/>
                    </w:rPr>
                  </w:pPr>
                  <w:r>
                    <w:rPr>
                      <w:sz w:val="20"/>
                      <w:szCs w:val="20"/>
                    </w:rPr>
                    <w:t>Maximum volume individual, instit</w:t>
                  </w:r>
                  <w:r w:rsidR="00916B01">
                    <w:rPr>
                      <w:sz w:val="20"/>
                      <w:szCs w:val="20"/>
                    </w:rPr>
                    <w:t>ution investor can register: 39,189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916B01">
                    <w:rPr>
                      <w:sz w:val="20"/>
                      <w:szCs w:val="20"/>
                    </w:rPr>
                    <w:t>15</w:t>
                  </w:r>
                  <w:r w:rsidR="00AE3541" w:rsidRPr="0019173D">
                    <w:rPr>
                      <w:sz w:val="20"/>
                      <w:szCs w:val="20"/>
                    </w:rPr>
                    <w:t xml:space="preserve">0 </w:t>
                  </w:r>
                  <w:r>
                    <w:rPr>
                      <w:sz w:val="20"/>
                      <w:szCs w:val="20"/>
                    </w:rPr>
                    <w:t>shares</w:t>
                  </w:r>
                  <w:r w:rsidR="00BF2FD0">
                    <w:rPr>
                      <w:sz w:val="20"/>
                      <w:szCs w:val="20"/>
                    </w:rPr>
                    <w:t xml:space="preserve"> </w:t>
                  </w:r>
                  <w:r w:rsidR="00BF2FD0">
                    <w:rPr>
                      <w:sz w:val="20"/>
                      <w:szCs w:val="20"/>
                      <w:lang w:val="nl-NL"/>
                    </w:rPr>
                    <w:t xml:space="preserve">(2.7% </w:t>
                  </w:r>
                  <w:r w:rsidR="00FA0036">
                    <w:rPr>
                      <w:sz w:val="20"/>
                      <w:szCs w:val="20"/>
                      <w:lang w:val="nl-NL"/>
                    </w:rPr>
                    <w:t>of Vinamilk’s C</w:t>
                  </w:r>
                  <w:r w:rsidR="00277C9C">
                    <w:rPr>
                      <w:sz w:val="20"/>
                      <w:szCs w:val="20"/>
                      <w:lang w:val="nl-NL"/>
                    </w:rPr>
                    <w:t xml:space="preserve">hartered </w:t>
                  </w:r>
                  <w:r w:rsidR="00FA0036">
                    <w:rPr>
                      <w:sz w:val="20"/>
                      <w:szCs w:val="20"/>
                      <w:lang w:val="nl-NL"/>
                    </w:rPr>
                    <w:t>C</w:t>
                  </w:r>
                  <w:r w:rsidR="00277C9C">
                    <w:rPr>
                      <w:sz w:val="20"/>
                      <w:szCs w:val="20"/>
                      <w:lang w:val="nl-NL"/>
                    </w:rPr>
                    <w:t>apital</w:t>
                  </w:r>
                  <w:r w:rsidR="00BF2FD0">
                    <w:rPr>
                      <w:sz w:val="20"/>
                      <w:szCs w:val="20"/>
                      <w:lang w:val="nl-NL"/>
                    </w:rPr>
                    <w:t>)</w:t>
                  </w:r>
                </w:p>
              </w:tc>
            </w:tr>
            <w:tr w:rsidR="00AE3541" w:rsidRPr="00862ECE" w:rsidTr="00916B01">
              <w:trPr>
                <w:trHeight w:val="291"/>
              </w:trPr>
              <w:tc>
                <w:tcPr>
                  <w:tcW w:w="5000" w:type="pct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3541" w:rsidRPr="0019173D" w:rsidRDefault="009C178D" w:rsidP="009C178D">
                  <w:pPr>
                    <w:framePr w:hSpace="180" w:wrap="around" w:vAnchor="page" w:hAnchor="margin" w:xAlign="center" w:y="391"/>
                    <w:numPr>
                      <w:ilvl w:val="0"/>
                      <w:numId w:val="3"/>
                    </w:numPr>
                    <w:suppressAutoHyphens w:val="0"/>
                    <w:spacing w:line="252" w:lineRule="auto"/>
                    <w:ind w:left="332" w:hanging="274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Deposit: </w:t>
                  </w:r>
                  <w:r w:rsidR="00AE3541" w:rsidRPr="0019173D">
                    <w:rPr>
                      <w:sz w:val="20"/>
                      <w:szCs w:val="20"/>
                    </w:rPr>
                    <w:t xml:space="preserve">10% </w:t>
                  </w:r>
                  <w:r>
                    <w:rPr>
                      <w:sz w:val="20"/>
                      <w:szCs w:val="20"/>
                    </w:rPr>
                    <w:t>of value of the number of shares each investor registers at initial price.</w:t>
                  </w:r>
                </w:p>
              </w:tc>
            </w:tr>
          </w:tbl>
          <w:p w:rsidR="00AE3541" w:rsidRPr="00862ECE" w:rsidRDefault="009C178D" w:rsidP="00AE3541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 </w:t>
            </w:r>
            <w:r w:rsidR="0021110B">
              <w:rPr>
                <w:b/>
                <w:bCs/>
                <w:sz w:val="20"/>
                <w:szCs w:val="20"/>
              </w:rPr>
              <w:t>Announcement</w:t>
            </w:r>
            <w:r w:rsidR="00FE0DD2">
              <w:rPr>
                <w:b/>
                <w:bCs/>
                <w:sz w:val="20"/>
                <w:szCs w:val="20"/>
              </w:rPr>
              <w:t>:</w:t>
            </w:r>
          </w:p>
          <w:p w:rsidR="00AE3541" w:rsidRPr="00277C9C" w:rsidRDefault="009C178D" w:rsidP="00AE3541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announcement starts from </w:t>
            </w:r>
            <w:r w:rsidR="00FE0DD2">
              <w:rPr>
                <w:sz w:val="20"/>
                <w:szCs w:val="20"/>
              </w:rPr>
              <w:t>28/11/2016</w:t>
            </w:r>
            <w:r w:rsidR="00AE3541" w:rsidRPr="00862ECE">
              <w:rPr>
                <w:sz w:val="20"/>
                <w:szCs w:val="20"/>
              </w:rPr>
              <w:t xml:space="preserve"> </w:t>
            </w:r>
            <w:r w:rsidR="0021110B">
              <w:rPr>
                <w:sz w:val="20"/>
                <w:szCs w:val="20"/>
              </w:rPr>
              <w:t xml:space="preserve">on </w:t>
            </w:r>
            <w:r w:rsidR="00277C9C" w:rsidRPr="00277C9C">
              <w:rPr>
                <w:sz w:val="20"/>
                <w:szCs w:val="20"/>
              </w:rPr>
              <w:t xml:space="preserve">the Vietnam </w:t>
            </w:r>
            <w:r w:rsidR="00471970">
              <w:rPr>
                <w:sz w:val="20"/>
                <w:szCs w:val="20"/>
              </w:rPr>
              <w:t>Investment Review</w:t>
            </w:r>
            <w:r w:rsidRPr="00277C9C">
              <w:rPr>
                <w:sz w:val="20"/>
                <w:szCs w:val="20"/>
              </w:rPr>
              <w:t xml:space="preserve">, Saigon </w:t>
            </w:r>
            <w:proofErr w:type="spellStart"/>
            <w:r w:rsidRPr="00277C9C">
              <w:rPr>
                <w:sz w:val="20"/>
                <w:szCs w:val="20"/>
              </w:rPr>
              <w:t>Giai</w:t>
            </w:r>
            <w:proofErr w:type="spellEnd"/>
            <w:r w:rsidRPr="00277C9C">
              <w:rPr>
                <w:sz w:val="20"/>
                <w:szCs w:val="20"/>
              </w:rPr>
              <w:t xml:space="preserve"> Phong Newspaper</w:t>
            </w:r>
            <w:r w:rsidR="00916B01" w:rsidRPr="00277C9C">
              <w:rPr>
                <w:sz w:val="20"/>
                <w:szCs w:val="20"/>
              </w:rPr>
              <w:t>, Bloomberg, Wall Street Journal, Reuters</w:t>
            </w:r>
            <w:r w:rsidRPr="00277C9C">
              <w:rPr>
                <w:sz w:val="20"/>
                <w:szCs w:val="20"/>
              </w:rPr>
              <w:t xml:space="preserve"> and</w:t>
            </w:r>
            <w:r w:rsidR="0021110B" w:rsidRPr="00277C9C">
              <w:rPr>
                <w:sz w:val="20"/>
                <w:szCs w:val="20"/>
              </w:rPr>
              <w:t xml:space="preserve"> w</w:t>
            </w:r>
            <w:r w:rsidRPr="00277C9C">
              <w:rPr>
                <w:sz w:val="20"/>
                <w:szCs w:val="20"/>
              </w:rPr>
              <w:t>ebsite</w:t>
            </w:r>
            <w:r w:rsidR="00916B01" w:rsidRPr="00277C9C">
              <w:rPr>
                <w:sz w:val="20"/>
                <w:szCs w:val="20"/>
              </w:rPr>
              <w:t>s</w:t>
            </w:r>
            <w:r w:rsidRPr="00277C9C">
              <w:rPr>
                <w:sz w:val="20"/>
                <w:szCs w:val="20"/>
              </w:rPr>
              <w:t xml:space="preserve"> of</w:t>
            </w:r>
            <w:r w:rsidR="00AE3541" w:rsidRPr="00277C9C">
              <w:rPr>
                <w:sz w:val="20"/>
                <w:szCs w:val="20"/>
              </w:rPr>
              <w:t xml:space="preserve"> SCIC, SSI</w:t>
            </w:r>
            <w:r w:rsidR="00BF2363" w:rsidRPr="00277C9C">
              <w:rPr>
                <w:sz w:val="20"/>
                <w:szCs w:val="20"/>
              </w:rPr>
              <w:t>,</w:t>
            </w:r>
            <w:r w:rsidR="00AE3541" w:rsidRPr="00277C9C">
              <w:rPr>
                <w:sz w:val="20"/>
                <w:szCs w:val="20"/>
              </w:rPr>
              <w:t xml:space="preserve"> HOSE</w:t>
            </w:r>
            <w:r w:rsidR="0005389B" w:rsidRPr="00277C9C">
              <w:rPr>
                <w:sz w:val="20"/>
                <w:szCs w:val="20"/>
              </w:rPr>
              <w:t>,</w:t>
            </w:r>
            <w:r w:rsidR="00BF2363" w:rsidRPr="00277C9C">
              <w:rPr>
                <w:sz w:val="20"/>
                <w:szCs w:val="20"/>
              </w:rPr>
              <w:t xml:space="preserve"> Vinamilk</w:t>
            </w:r>
            <w:r w:rsidR="0005389B" w:rsidRPr="00277C9C">
              <w:rPr>
                <w:sz w:val="20"/>
                <w:szCs w:val="20"/>
              </w:rPr>
              <w:t xml:space="preserve"> </w:t>
            </w:r>
            <w:r w:rsidRPr="00277C9C">
              <w:rPr>
                <w:sz w:val="20"/>
                <w:szCs w:val="20"/>
              </w:rPr>
              <w:t>and</w:t>
            </w:r>
            <w:r w:rsidR="00916B01" w:rsidRPr="00277C9C">
              <w:rPr>
                <w:sz w:val="20"/>
                <w:szCs w:val="20"/>
              </w:rPr>
              <w:t xml:space="preserve"> Agents for Registration</w:t>
            </w:r>
            <w:r w:rsidR="0021110B" w:rsidRPr="00277C9C">
              <w:rPr>
                <w:sz w:val="20"/>
                <w:szCs w:val="20"/>
              </w:rPr>
              <w:t xml:space="preserve">. </w:t>
            </w:r>
          </w:p>
          <w:p w:rsidR="00BF2363" w:rsidRPr="00BF2363" w:rsidRDefault="009C178D" w:rsidP="00BF2363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Investors participating in the Competitive Offering can </w:t>
            </w:r>
            <w:r w:rsidR="0021110B">
              <w:rPr>
                <w:sz w:val="20"/>
                <w:szCs w:val="20"/>
              </w:rPr>
              <w:t xml:space="preserve">obtain the </w:t>
            </w:r>
            <w:r w:rsidR="00BF2FD0">
              <w:rPr>
                <w:sz w:val="20"/>
                <w:szCs w:val="20"/>
              </w:rPr>
              <w:t xml:space="preserve">Information </w:t>
            </w:r>
            <w:r w:rsidR="0021110B">
              <w:rPr>
                <w:sz w:val="20"/>
                <w:szCs w:val="20"/>
              </w:rPr>
              <w:t>Memorandum</w:t>
            </w:r>
            <w:r w:rsidR="00AE3541" w:rsidRPr="00862ECE">
              <w:rPr>
                <w:sz w:val="20"/>
                <w:szCs w:val="20"/>
              </w:rPr>
              <w:t xml:space="preserve">, </w:t>
            </w:r>
            <w:r w:rsidR="00BF2FD0">
              <w:rPr>
                <w:sz w:val="20"/>
                <w:szCs w:val="20"/>
              </w:rPr>
              <w:t>Regulat</w:t>
            </w:r>
            <w:r w:rsidR="00471970">
              <w:rPr>
                <w:sz w:val="20"/>
                <w:szCs w:val="20"/>
              </w:rPr>
              <w:t>i</w:t>
            </w:r>
            <w:r w:rsidR="00BF2FD0">
              <w:rPr>
                <w:sz w:val="20"/>
                <w:szCs w:val="20"/>
              </w:rPr>
              <w:t>ons on</w:t>
            </w:r>
            <w:r w:rsidR="0021110B">
              <w:rPr>
                <w:sz w:val="20"/>
                <w:szCs w:val="20"/>
              </w:rPr>
              <w:t xml:space="preserve"> Competitive Offering</w:t>
            </w:r>
            <w:r w:rsidR="00FE0DD2">
              <w:rPr>
                <w:sz w:val="20"/>
                <w:szCs w:val="20"/>
              </w:rPr>
              <w:t xml:space="preserve"> </w:t>
            </w:r>
            <w:r w:rsidR="0021110B">
              <w:rPr>
                <w:sz w:val="20"/>
                <w:szCs w:val="20"/>
              </w:rPr>
              <w:t>and other</w:t>
            </w:r>
            <w:r w:rsidR="00BF2FD0">
              <w:rPr>
                <w:sz w:val="20"/>
                <w:szCs w:val="20"/>
              </w:rPr>
              <w:t xml:space="preserve"> related</w:t>
            </w:r>
            <w:r w:rsidR="0021110B">
              <w:rPr>
                <w:sz w:val="20"/>
                <w:szCs w:val="20"/>
              </w:rPr>
              <w:t xml:space="preserve"> documents on the following </w:t>
            </w:r>
            <w:r w:rsidR="00AE3541" w:rsidRPr="00862ECE">
              <w:rPr>
                <w:sz w:val="20"/>
                <w:szCs w:val="20"/>
              </w:rPr>
              <w:t xml:space="preserve">website: </w:t>
            </w:r>
            <w:hyperlink r:id="rId8" w:tgtFrame="_blank" w:history="1">
              <w:r w:rsidR="00AE3541" w:rsidRPr="00862ECE">
                <w:rPr>
                  <w:rStyle w:val="Hyperlink"/>
                  <w:sz w:val="20"/>
                  <w:szCs w:val="20"/>
                </w:rPr>
                <w:t>www.scic.vn</w:t>
              </w:r>
            </w:hyperlink>
            <w:r w:rsidR="00AE3541" w:rsidRPr="00862ECE">
              <w:rPr>
                <w:rStyle w:val="Hyperlink"/>
                <w:sz w:val="20"/>
                <w:szCs w:val="20"/>
              </w:rPr>
              <w:t xml:space="preserve">, </w:t>
            </w:r>
            <w:hyperlink r:id="rId9" w:history="1">
              <w:r w:rsidR="00AE3541" w:rsidRPr="00862ECE">
                <w:rPr>
                  <w:rStyle w:val="Hyperlink"/>
                  <w:sz w:val="20"/>
                  <w:szCs w:val="20"/>
                </w:rPr>
                <w:t>www.ssi.com.vn</w:t>
              </w:r>
            </w:hyperlink>
            <w:r w:rsidR="00AE3541" w:rsidRPr="00862ECE">
              <w:rPr>
                <w:sz w:val="20"/>
                <w:szCs w:val="20"/>
              </w:rPr>
              <w:t xml:space="preserve">, </w:t>
            </w:r>
            <w:hyperlink r:id="rId10" w:history="1">
              <w:r w:rsidR="00AE3541" w:rsidRPr="00862ECE">
                <w:rPr>
                  <w:rStyle w:val="Hyperlink"/>
                  <w:sz w:val="20"/>
                  <w:szCs w:val="20"/>
                </w:rPr>
                <w:t>www.hsx.vn</w:t>
              </w:r>
            </w:hyperlink>
            <w:r w:rsidR="00BF2363">
              <w:rPr>
                <w:rStyle w:val="Hyperlink"/>
                <w:sz w:val="20"/>
                <w:szCs w:val="20"/>
              </w:rPr>
              <w:t>,</w:t>
            </w:r>
            <w:r w:rsidR="00BF2363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hyperlink r:id="rId11" w:history="1">
              <w:r w:rsidR="00C553AB" w:rsidRPr="004D5497">
                <w:rPr>
                  <w:rStyle w:val="Hyperlink"/>
                  <w:sz w:val="20"/>
                  <w:szCs w:val="20"/>
                </w:rPr>
                <w:t>www.vinamilk.com.vn</w:t>
              </w:r>
            </w:hyperlink>
            <w:r w:rsidR="00C553AB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21110B">
              <w:rPr>
                <w:sz w:val="20"/>
                <w:szCs w:val="20"/>
              </w:rPr>
              <w:t>and website of</w:t>
            </w:r>
            <w:r w:rsidR="00916B01">
              <w:rPr>
                <w:sz w:val="20"/>
                <w:szCs w:val="20"/>
              </w:rPr>
              <w:t xml:space="preserve"> Agents </w:t>
            </w:r>
            <w:r w:rsidR="00BF2FD0">
              <w:rPr>
                <w:sz w:val="20"/>
                <w:szCs w:val="20"/>
              </w:rPr>
              <w:t xml:space="preserve">for </w:t>
            </w:r>
            <w:r w:rsidR="00916B01">
              <w:rPr>
                <w:sz w:val="20"/>
                <w:szCs w:val="20"/>
              </w:rPr>
              <w:t>Registration</w:t>
            </w:r>
            <w:r w:rsidR="00C553AB" w:rsidRPr="00C553AB">
              <w:rPr>
                <w:sz w:val="20"/>
                <w:szCs w:val="20"/>
              </w:rPr>
              <w:t>.</w:t>
            </w:r>
          </w:p>
          <w:p w:rsidR="00AE3541" w:rsidRPr="003F666D" w:rsidRDefault="0021110B" w:rsidP="00835962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Timing and venues for</w:t>
            </w:r>
            <w:r>
              <w:rPr>
                <w:b/>
                <w:spacing w:val="-2"/>
                <w:sz w:val="20"/>
                <w:szCs w:val="20"/>
              </w:rPr>
              <w:t xml:space="preserve"> registration: from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AE3541" w:rsidRPr="00FE0DD2">
              <w:rPr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b/>
                <w:bCs/>
                <w:spacing w:val="-2"/>
                <w:sz w:val="20"/>
                <w:szCs w:val="20"/>
              </w:rPr>
              <w:t>8 Nov 2016 to</w:t>
            </w:r>
            <w:r w:rsidR="00FE0DD2" w:rsidRPr="00FE0DD2">
              <w:rPr>
                <w:b/>
                <w:bCs/>
                <w:spacing w:val="-2"/>
                <w:sz w:val="20"/>
                <w:szCs w:val="20"/>
              </w:rPr>
              <w:t xml:space="preserve"> 16</w:t>
            </w:r>
            <w:r>
              <w:rPr>
                <w:b/>
                <w:bCs/>
                <w:spacing w:val="-2"/>
                <w:sz w:val="20"/>
                <w:szCs w:val="20"/>
              </w:rPr>
              <w:t>h00 on</w:t>
            </w:r>
            <w:r w:rsidR="00AE3541" w:rsidRPr="00FE0DD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E0DD2" w:rsidRPr="00FE0DD2">
              <w:rPr>
                <w:b/>
                <w:bCs/>
                <w:spacing w:val="-2"/>
                <w:sz w:val="20"/>
                <w:szCs w:val="20"/>
              </w:rPr>
              <w:t>9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Dec </w:t>
            </w:r>
            <w:r w:rsidR="00AE3541" w:rsidRPr="00FE0DD2">
              <w:rPr>
                <w:b/>
                <w:bCs/>
                <w:spacing w:val="-2"/>
                <w:sz w:val="20"/>
                <w:szCs w:val="20"/>
              </w:rPr>
              <w:t>2016</w:t>
            </w:r>
            <w:r>
              <w:rPr>
                <w:spacing w:val="-2"/>
                <w:sz w:val="20"/>
                <w:szCs w:val="20"/>
              </w:rPr>
              <w:t xml:space="preserve"> at </w:t>
            </w:r>
            <w:r w:rsidR="00BF2FD0">
              <w:rPr>
                <w:sz w:val="20"/>
                <w:szCs w:val="20"/>
              </w:rPr>
              <w:t>Agents for Registration</w:t>
            </w:r>
            <w:r w:rsidR="00BF2FD0" w:rsidDel="00BF2FD0">
              <w:rPr>
                <w:spacing w:val="-2"/>
                <w:sz w:val="20"/>
                <w:szCs w:val="20"/>
              </w:rPr>
              <w:t xml:space="preserve"> </w:t>
            </w:r>
            <w:r w:rsidR="003F666D" w:rsidRPr="00FE0DD2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list of </w:t>
            </w:r>
            <w:r w:rsidR="00BF2FD0">
              <w:rPr>
                <w:sz w:val="20"/>
                <w:szCs w:val="20"/>
              </w:rPr>
              <w:t>Agents for Registration</w:t>
            </w:r>
            <w:r w:rsidR="00BF2FD0" w:rsidDel="00BF2FD0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is public on </w:t>
            </w:r>
            <w:r w:rsidR="00FE0DD2" w:rsidRPr="00FE0DD2">
              <w:rPr>
                <w:spacing w:val="-2"/>
                <w:sz w:val="20"/>
                <w:szCs w:val="20"/>
              </w:rPr>
              <w:t>w</w:t>
            </w:r>
            <w:r>
              <w:rPr>
                <w:spacing w:val="-2"/>
                <w:sz w:val="20"/>
                <w:szCs w:val="20"/>
              </w:rPr>
              <w:t>ebsite</w:t>
            </w:r>
            <w:r w:rsidR="00916B01">
              <w:rPr>
                <w:spacing w:val="-2"/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 xml:space="preserve"> of SCIC, SSI, HOSE and </w:t>
            </w:r>
            <w:r w:rsidR="003F666D" w:rsidRPr="00FE0DD2">
              <w:rPr>
                <w:spacing w:val="-2"/>
                <w:sz w:val="20"/>
                <w:szCs w:val="20"/>
              </w:rPr>
              <w:t>Vinamilk)</w:t>
            </w:r>
          </w:p>
          <w:p w:rsidR="00AE3541" w:rsidRPr="00BF2363" w:rsidRDefault="0021110B" w:rsidP="00AE3541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deposit</w:t>
            </w:r>
            <w:r w:rsidR="00AE3541" w:rsidRPr="00862ECE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 </w:t>
            </w:r>
            <w:r w:rsidR="00AE3541">
              <w:rPr>
                <w:b/>
                <w:bCs/>
                <w:sz w:val="20"/>
                <w:szCs w:val="20"/>
              </w:rPr>
              <w:t>2</w:t>
            </w:r>
            <w:r w:rsidR="00FE0DD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Nov 2016 to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 1</w:t>
            </w:r>
            <w:r w:rsidR="00FE0DD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h00 on</w:t>
            </w:r>
            <w:r w:rsidR="00FE0DD2">
              <w:rPr>
                <w:b/>
                <w:bCs/>
                <w:sz w:val="20"/>
                <w:szCs w:val="20"/>
              </w:rPr>
              <w:t xml:space="preserve"> 9</w:t>
            </w:r>
            <w:r>
              <w:rPr>
                <w:b/>
                <w:bCs/>
                <w:sz w:val="20"/>
                <w:szCs w:val="20"/>
              </w:rPr>
              <w:t xml:space="preserve"> Dec </w:t>
            </w:r>
            <w:r w:rsidR="00AE3541" w:rsidRPr="00862ECE">
              <w:rPr>
                <w:b/>
                <w:bCs/>
                <w:sz w:val="20"/>
                <w:szCs w:val="20"/>
              </w:rPr>
              <w:t>2016</w:t>
            </w:r>
            <w:r w:rsidR="00DD2AFE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detail</w:t>
            </w:r>
            <w:r w:rsidR="00FA0036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 specified under the </w:t>
            </w:r>
            <w:r w:rsidR="00BF2FD0">
              <w:rPr>
                <w:sz w:val="20"/>
                <w:szCs w:val="20"/>
              </w:rPr>
              <w:t>Regulat</w:t>
            </w:r>
            <w:r w:rsidR="00471970">
              <w:rPr>
                <w:sz w:val="20"/>
                <w:szCs w:val="20"/>
              </w:rPr>
              <w:t>i</w:t>
            </w:r>
            <w:r w:rsidR="00BF2FD0">
              <w:rPr>
                <w:sz w:val="20"/>
                <w:szCs w:val="20"/>
              </w:rPr>
              <w:t xml:space="preserve">ons on </w:t>
            </w:r>
            <w:r>
              <w:rPr>
                <w:bCs/>
                <w:sz w:val="20"/>
                <w:szCs w:val="20"/>
              </w:rPr>
              <w:t>Competitive Offering)</w:t>
            </w:r>
            <w:r w:rsidR="00DD2AFE">
              <w:rPr>
                <w:bCs/>
                <w:sz w:val="20"/>
                <w:szCs w:val="20"/>
              </w:rPr>
              <w:t>.</w:t>
            </w:r>
          </w:p>
          <w:p w:rsidR="00BF2363" w:rsidRPr="00916B01" w:rsidRDefault="006C4511" w:rsidP="00AE3541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Investor receives Registration F</w:t>
            </w:r>
            <w:bookmarkStart w:id="0" w:name="_GoBack"/>
            <w:bookmarkEnd w:id="0"/>
            <w:r w:rsidR="0021110B">
              <w:rPr>
                <w:bCs/>
                <w:sz w:val="20"/>
                <w:szCs w:val="20"/>
              </w:rPr>
              <w:t xml:space="preserve">orm at </w:t>
            </w:r>
            <w:r w:rsidR="00916B01">
              <w:rPr>
                <w:bCs/>
                <w:sz w:val="20"/>
                <w:szCs w:val="20"/>
              </w:rPr>
              <w:t xml:space="preserve">Agents for Registration </w:t>
            </w:r>
            <w:r w:rsidR="0021110B" w:rsidRPr="00277C9C">
              <w:rPr>
                <w:bCs/>
                <w:sz w:val="20"/>
                <w:szCs w:val="20"/>
              </w:rPr>
              <w:t xml:space="preserve">or </w:t>
            </w:r>
            <w:r w:rsidR="00916B01" w:rsidRPr="00277C9C">
              <w:rPr>
                <w:bCs/>
                <w:sz w:val="20"/>
                <w:szCs w:val="20"/>
              </w:rPr>
              <w:t>download from websites listed</w:t>
            </w:r>
            <w:r w:rsidR="00916B01">
              <w:rPr>
                <w:bCs/>
                <w:sz w:val="20"/>
                <w:szCs w:val="20"/>
              </w:rPr>
              <w:t xml:space="preserve"> above</w:t>
            </w:r>
            <w:r w:rsidR="00BF2363">
              <w:rPr>
                <w:bCs/>
                <w:sz w:val="20"/>
                <w:szCs w:val="20"/>
              </w:rPr>
              <w:t>.</w:t>
            </w:r>
          </w:p>
          <w:p w:rsidR="00916B01" w:rsidRPr="00862ECE" w:rsidRDefault="00916B01" w:rsidP="00AE3541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Investor receives Bidding Form at the Agent for Registration </w:t>
            </w:r>
            <w:r w:rsidR="00277C9C">
              <w:rPr>
                <w:bCs/>
                <w:sz w:val="20"/>
                <w:szCs w:val="20"/>
              </w:rPr>
              <w:t xml:space="preserve">where </w:t>
            </w:r>
            <w:r>
              <w:rPr>
                <w:bCs/>
                <w:sz w:val="20"/>
                <w:szCs w:val="20"/>
              </w:rPr>
              <w:t xml:space="preserve">it submitted </w:t>
            </w:r>
            <w:r w:rsidR="00277C9C">
              <w:rPr>
                <w:bCs/>
                <w:sz w:val="20"/>
                <w:szCs w:val="20"/>
              </w:rPr>
              <w:t xml:space="preserve">its </w:t>
            </w:r>
            <w:r>
              <w:rPr>
                <w:bCs/>
                <w:sz w:val="20"/>
                <w:szCs w:val="20"/>
              </w:rPr>
              <w:t>Registration Form</w:t>
            </w:r>
            <w:r w:rsidR="00BF2FD0">
              <w:rPr>
                <w:bCs/>
                <w:sz w:val="20"/>
                <w:szCs w:val="20"/>
              </w:rPr>
              <w:t xml:space="preserve"> (detail</w:t>
            </w:r>
            <w:r w:rsidR="00FA0036">
              <w:rPr>
                <w:bCs/>
                <w:sz w:val="20"/>
                <w:szCs w:val="20"/>
              </w:rPr>
              <w:t>s</w:t>
            </w:r>
            <w:r w:rsidR="00BF2FD0">
              <w:rPr>
                <w:bCs/>
                <w:sz w:val="20"/>
                <w:szCs w:val="20"/>
              </w:rPr>
              <w:t xml:space="preserve"> under the </w:t>
            </w:r>
            <w:r w:rsidR="00BF2FD0">
              <w:rPr>
                <w:sz w:val="20"/>
                <w:szCs w:val="20"/>
              </w:rPr>
              <w:t>Regulat</w:t>
            </w:r>
            <w:r w:rsidR="00497CB3">
              <w:rPr>
                <w:sz w:val="20"/>
                <w:szCs w:val="20"/>
              </w:rPr>
              <w:t>i</w:t>
            </w:r>
            <w:r w:rsidR="00BF2FD0">
              <w:rPr>
                <w:sz w:val="20"/>
                <w:szCs w:val="20"/>
              </w:rPr>
              <w:t>ons on</w:t>
            </w:r>
            <w:r w:rsidR="00BF2FD0">
              <w:rPr>
                <w:bCs/>
                <w:sz w:val="20"/>
                <w:szCs w:val="20"/>
              </w:rPr>
              <w:t xml:space="preserve"> Competitive Offering)</w:t>
            </w:r>
            <w:r>
              <w:rPr>
                <w:bCs/>
                <w:sz w:val="20"/>
                <w:szCs w:val="20"/>
              </w:rPr>
              <w:t>.</w:t>
            </w:r>
          </w:p>
          <w:p w:rsidR="00AE3541" w:rsidRPr="00835962" w:rsidRDefault="0021110B" w:rsidP="00835962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and venue to submit the bidding form</w:t>
            </w:r>
            <w:r w:rsidR="00AE3541" w:rsidRPr="00835962">
              <w:rPr>
                <w:b/>
                <w:sz w:val="20"/>
                <w:szCs w:val="20"/>
              </w:rPr>
              <w:t xml:space="preserve">: </w:t>
            </w:r>
          </w:p>
          <w:p w:rsidR="00AE3541" w:rsidRPr="00862ECE" w:rsidRDefault="0021110B" w:rsidP="00835962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At the</w:t>
            </w:r>
            <w:r w:rsidR="00AE3541" w:rsidRPr="00862ECE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Ho Chi Minh Stock Exchange - 16 Vo Van Kiet, District 1</w:t>
            </w:r>
            <w:r w:rsidR="00AE3541" w:rsidRPr="00862ECE">
              <w:rPr>
                <w:sz w:val="20"/>
                <w:szCs w:val="20"/>
                <w:lang w:val="nl-NL"/>
              </w:rPr>
              <w:t xml:space="preserve">, </w:t>
            </w:r>
            <w:r>
              <w:rPr>
                <w:sz w:val="20"/>
                <w:szCs w:val="20"/>
                <w:lang w:val="nl-NL"/>
              </w:rPr>
              <w:t>HCMC</w:t>
            </w:r>
          </w:p>
          <w:p w:rsidR="00AE3541" w:rsidRPr="00862ECE" w:rsidRDefault="0021110B" w:rsidP="00835962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  <w:r w:rsidR="00AE3541" w:rsidRPr="00862ECE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from </w:t>
            </w:r>
            <w:r w:rsidR="00AE3541" w:rsidRPr="00862ECE">
              <w:rPr>
                <w:b/>
                <w:bCs/>
                <w:sz w:val="20"/>
                <w:szCs w:val="20"/>
              </w:rPr>
              <w:t>0</w:t>
            </w:r>
            <w:r w:rsidR="00AE354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h00 on</w:t>
            </w:r>
            <w:r w:rsidR="00AE3541">
              <w:rPr>
                <w:b/>
                <w:bCs/>
                <w:sz w:val="20"/>
                <w:szCs w:val="20"/>
              </w:rPr>
              <w:t xml:space="preserve"> </w:t>
            </w:r>
            <w:r w:rsidR="00835962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Dec 2016 to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 1</w:t>
            </w:r>
            <w:r w:rsidR="00AE354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h00 on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 </w:t>
            </w:r>
            <w:r w:rsidR="00835962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Dec </w:t>
            </w:r>
            <w:r w:rsidR="00AE3541" w:rsidRPr="00862ECE">
              <w:rPr>
                <w:b/>
                <w:bCs/>
                <w:sz w:val="20"/>
                <w:szCs w:val="20"/>
              </w:rPr>
              <w:t>2016</w:t>
            </w:r>
          </w:p>
          <w:p w:rsidR="00AE3541" w:rsidRPr="00862ECE" w:rsidRDefault="00B4482E" w:rsidP="00AE3541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and venue for the Competitive Offering</w:t>
            </w:r>
            <w:r w:rsidR="00AE3541" w:rsidRPr="00862ECE">
              <w:rPr>
                <w:b/>
                <w:bCs/>
                <w:sz w:val="20"/>
                <w:szCs w:val="20"/>
              </w:rPr>
              <w:t xml:space="preserve">: </w:t>
            </w:r>
          </w:p>
          <w:p w:rsidR="00AE3541" w:rsidRPr="00862ECE" w:rsidRDefault="00B4482E" w:rsidP="00835962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At the Ho Chi Min</w:t>
            </w:r>
            <w:r w:rsidR="00BF2FD0">
              <w:rPr>
                <w:sz w:val="20"/>
                <w:szCs w:val="20"/>
                <w:lang w:val="nl-NL"/>
              </w:rPr>
              <w:t>h</w:t>
            </w:r>
            <w:r>
              <w:rPr>
                <w:sz w:val="20"/>
                <w:szCs w:val="20"/>
                <w:lang w:val="nl-NL"/>
              </w:rPr>
              <w:t xml:space="preserve"> Stock Exchange - 16 Vo Van Kiet</w:t>
            </w:r>
            <w:r w:rsidR="00AE3541" w:rsidRPr="00862ECE">
              <w:rPr>
                <w:sz w:val="20"/>
                <w:szCs w:val="20"/>
                <w:lang w:val="nl-NL"/>
              </w:rPr>
              <w:t xml:space="preserve">, </w:t>
            </w:r>
            <w:r>
              <w:rPr>
                <w:sz w:val="20"/>
                <w:szCs w:val="20"/>
                <w:lang w:val="nl-NL"/>
              </w:rPr>
              <w:t xml:space="preserve">District </w:t>
            </w:r>
            <w:r w:rsidR="00AE3541" w:rsidRPr="00862ECE">
              <w:rPr>
                <w:sz w:val="20"/>
                <w:szCs w:val="20"/>
                <w:lang w:val="nl-NL"/>
              </w:rPr>
              <w:t xml:space="preserve">1, </w:t>
            </w:r>
            <w:r>
              <w:rPr>
                <w:sz w:val="20"/>
                <w:szCs w:val="20"/>
                <w:lang w:val="nl-NL"/>
              </w:rPr>
              <w:t>HCMC</w:t>
            </w:r>
          </w:p>
          <w:p w:rsidR="00AE3541" w:rsidRPr="00862ECE" w:rsidRDefault="00AE3541" w:rsidP="00835962">
            <w:pPr>
              <w:numPr>
                <w:ilvl w:val="0"/>
                <w:numId w:val="4"/>
              </w:numPr>
              <w:suppressAutoHyphens w:val="0"/>
              <w:spacing w:before="40" w:after="40" w:line="288" w:lineRule="auto"/>
              <w:ind w:left="322" w:hanging="270"/>
              <w:rPr>
                <w:sz w:val="20"/>
                <w:szCs w:val="20"/>
              </w:rPr>
            </w:pPr>
            <w:r w:rsidRPr="00862ECE">
              <w:rPr>
                <w:sz w:val="20"/>
                <w:szCs w:val="20"/>
              </w:rPr>
              <w:t xml:space="preserve">Thời gian: </w:t>
            </w:r>
            <w:r w:rsidRPr="0019173D">
              <w:rPr>
                <w:b/>
                <w:bCs/>
                <w:sz w:val="20"/>
                <w:szCs w:val="20"/>
              </w:rPr>
              <w:t>14</w:t>
            </w:r>
            <w:r w:rsidR="00B4482E">
              <w:rPr>
                <w:b/>
                <w:bCs/>
                <w:sz w:val="20"/>
                <w:szCs w:val="20"/>
              </w:rPr>
              <w:t>h30 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35962">
              <w:rPr>
                <w:b/>
                <w:bCs/>
                <w:sz w:val="20"/>
                <w:szCs w:val="20"/>
              </w:rPr>
              <w:t>12</w:t>
            </w:r>
            <w:r w:rsidR="00B4482E">
              <w:rPr>
                <w:b/>
                <w:bCs/>
                <w:sz w:val="20"/>
                <w:szCs w:val="20"/>
              </w:rPr>
              <w:t xml:space="preserve"> Dec </w:t>
            </w:r>
            <w:r w:rsidRPr="00862ECE">
              <w:rPr>
                <w:b/>
                <w:bCs/>
                <w:sz w:val="20"/>
                <w:szCs w:val="20"/>
              </w:rPr>
              <w:t xml:space="preserve">2016 </w:t>
            </w:r>
          </w:p>
          <w:p w:rsidR="00AE3541" w:rsidRPr="00AE3541" w:rsidRDefault="00B4482E" w:rsidP="00AE3541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Time for payment and </w:t>
            </w:r>
            <w:r w:rsidR="00497CB3">
              <w:rPr>
                <w:b/>
                <w:bCs/>
                <w:sz w:val="20"/>
                <w:szCs w:val="20"/>
              </w:rPr>
              <w:t>execution of</w:t>
            </w:r>
            <w:r w:rsidR="00BF2FD0">
              <w:rPr>
                <w:b/>
                <w:bCs/>
                <w:sz w:val="20"/>
                <w:szCs w:val="20"/>
              </w:rPr>
              <w:t xml:space="preserve"> the transaction</w:t>
            </w:r>
            <w:r w:rsidR="00AE3541" w:rsidRPr="00BF2363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from</w:t>
            </w:r>
            <w:r w:rsidR="00AE3541" w:rsidRPr="00BF2363">
              <w:rPr>
                <w:b/>
                <w:sz w:val="20"/>
                <w:szCs w:val="20"/>
              </w:rPr>
              <w:t xml:space="preserve"> </w:t>
            </w:r>
            <w:r w:rsidR="00835962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Dec </w:t>
            </w:r>
            <w:r w:rsidR="00AE3541" w:rsidRPr="00BF2363">
              <w:rPr>
                <w:b/>
                <w:sz w:val="20"/>
                <w:szCs w:val="20"/>
              </w:rPr>
              <w:t xml:space="preserve">2016 </w:t>
            </w:r>
            <w:r>
              <w:rPr>
                <w:b/>
                <w:sz w:val="20"/>
                <w:szCs w:val="20"/>
              </w:rPr>
              <w:t xml:space="preserve">to </w:t>
            </w:r>
            <w:r w:rsidR="00835962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 Dec </w:t>
            </w:r>
            <w:r w:rsidR="00AE3541" w:rsidRPr="00BF2363">
              <w:rPr>
                <w:b/>
                <w:sz w:val="20"/>
                <w:szCs w:val="20"/>
              </w:rPr>
              <w:t xml:space="preserve">2016 </w:t>
            </w:r>
          </w:p>
          <w:p w:rsidR="00AE3541" w:rsidRPr="00BF2363" w:rsidRDefault="00B4482E" w:rsidP="00497CB3">
            <w:pPr>
              <w:numPr>
                <w:ilvl w:val="0"/>
                <w:numId w:val="1"/>
              </w:numPr>
              <w:suppressAutoHyphens w:val="0"/>
              <w:spacing w:before="40" w:after="40" w:line="288" w:lineRule="auto"/>
              <w:ind w:left="322" w:hanging="27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for deposit return</w:t>
            </w:r>
            <w:r w:rsidR="00AE3541" w:rsidRPr="00BF2363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nl-NL"/>
              </w:rPr>
              <w:t xml:space="preserve">as specified under the </w:t>
            </w:r>
            <w:r w:rsidR="00B34686">
              <w:rPr>
                <w:sz w:val="20"/>
                <w:szCs w:val="20"/>
              </w:rPr>
              <w:t>Regulat</w:t>
            </w:r>
            <w:r w:rsidR="00497CB3">
              <w:rPr>
                <w:sz w:val="20"/>
                <w:szCs w:val="20"/>
              </w:rPr>
              <w:t>i</w:t>
            </w:r>
            <w:r w:rsidR="00B34686">
              <w:rPr>
                <w:sz w:val="20"/>
                <w:szCs w:val="20"/>
              </w:rPr>
              <w:t>ons on</w:t>
            </w:r>
            <w:r>
              <w:rPr>
                <w:sz w:val="20"/>
                <w:szCs w:val="20"/>
                <w:lang w:val="nl-NL"/>
              </w:rPr>
              <w:t xml:space="preserve"> Competitive Offering</w:t>
            </w:r>
            <w:r w:rsidR="00C933DD">
              <w:rPr>
                <w:sz w:val="20"/>
                <w:szCs w:val="20"/>
                <w:lang w:val="nl-NL"/>
              </w:rPr>
              <w:t>.</w:t>
            </w:r>
          </w:p>
        </w:tc>
      </w:tr>
    </w:tbl>
    <w:p w:rsidR="001D0749" w:rsidRDefault="00B975E8"/>
    <w:p w:rsidR="003F666D" w:rsidRDefault="003F666D"/>
    <w:p w:rsidR="003F666D" w:rsidRDefault="003F666D"/>
    <w:p w:rsidR="003F666D" w:rsidRDefault="003F666D"/>
    <w:sectPr w:rsidR="003F666D" w:rsidSect="00AE3541">
      <w:pgSz w:w="11909" w:h="16834" w:code="9"/>
      <w:pgMar w:top="1008" w:right="144" w:bottom="288" w:left="43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11F"/>
    <w:multiLevelType w:val="hybridMultilevel"/>
    <w:tmpl w:val="15EA2F04"/>
    <w:lvl w:ilvl="0" w:tplc="963E4A38">
      <w:numFmt w:val="bullet"/>
      <w:lvlText w:val="-"/>
      <w:lvlJc w:val="left"/>
      <w:pPr>
        <w:ind w:left="720" w:hanging="360"/>
      </w:pPr>
      <w:rPr>
        <w:rFonts w:ascii="VNI-Helve-Condense" w:eastAsia="Times New Roman" w:hAnsi="VNI-Helve-Condense" w:cs="Times New Roman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361B"/>
    <w:multiLevelType w:val="hybridMultilevel"/>
    <w:tmpl w:val="ADC4A5D2"/>
    <w:lvl w:ilvl="0" w:tplc="963E4A38">
      <w:numFmt w:val="bullet"/>
      <w:lvlText w:val="-"/>
      <w:lvlJc w:val="left"/>
      <w:pPr>
        <w:ind w:left="720" w:hanging="360"/>
      </w:pPr>
      <w:rPr>
        <w:rFonts w:ascii="VNI-Helve-Condense" w:eastAsia="Times New Roman" w:hAnsi="VNI-Helve-Condense" w:cs="Times New Roman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17546"/>
    <w:multiLevelType w:val="hybridMultilevel"/>
    <w:tmpl w:val="95CC43FE"/>
    <w:lvl w:ilvl="0" w:tplc="19F8B90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A376B"/>
    <w:multiLevelType w:val="hybridMultilevel"/>
    <w:tmpl w:val="21BA62D8"/>
    <w:lvl w:ilvl="0" w:tplc="85DA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B2C4C"/>
    <w:multiLevelType w:val="hybridMultilevel"/>
    <w:tmpl w:val="CA5486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5658"/>
    <w:multiLevelType w:val="hybridMultilevel"/>
    <w:tmpl w:val="82CC4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77356"/>
    <w:multiLevelType w:val="hybridMultilevel"/>
    <w:tmpl w:val="E19E1F0A"/>
    <w:lvl w:ilvl="0" w:tplc="0D96886C">
      <w:start w:val="1"/>
      <w:numFmt w:val="bullet"/>
      <w:lvlText w:val="-"/>
      <w:lvlJc w:val="left"/>
      <w:pPr>
        <w:ind w:left="720" w:hanging="360"/>
      </w:pPr>
      <w:rPr>
        <w:rFonts w:ascii="VNtimes new roman" w:hAnsi="VN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E3541"/>
    <w:rsid w:val="00031445"/>
    <w:rsid w:val="0005389B"/>
    <w:rsid w:val="000F611C"/>
    <w:rsid w:val="00141903"/>
    <w:rsid w:val="001717F2"/>
    <w:rsid w:val="00173A5F"/>
    <w:rsid w:val="001A5F51"/>
    <w:rsid w:val="001B0C63"/>
    <w:rsid w:val="001E4C13"/>
    <w:rsid w:val="001F1DD3"/>
    <w:rsid w:val="0021110B"/>
    <w:rsid w:val="00277C9C"/>
    <w:rsid w:val="0032211B"/>
    <w:rsid w:val="003A02E4"/>
    <w:rsid w:val="003B2E1F"/>
    <w:rsid w:val="003F666D"/>
    <w:rsid w:val="004136E4"/>
    <w:rsid w:val="00471970"/>
    <w:rsid w:val="004979C6"/>
    <w:rsid w:val="00497CB3"/>
    <w:rsid w:val="00533A8A"/>
    <w:rsid w:val="00677E7E"/>
    <w:rsid w:val="006C3F48"/>
    <w:rsid w:val="006C4511"/>
    <w:rsid w:val="00740184"/>
    <w:rsid w:val="0079104D"/>
    <w:rsid w:val="007D09CE"/>
    <w:rsid w:val="00835962"/>
    <w:rsid w:val="00882C4C"/>
    <w:rsid w:val="00916B01"/>
    <w:rsid w:val="009931C9"/>
    <w:rsid w:val="009C178D"/>
    <w:rsid w:val="00A204B2"/>
    <w:rsid w:val="00AA77AE"/>
    <w:rsid w:val="00AE3541"/>
    <w:rsid w:val="00AE7B71"/>
    <w:rsid w:val="00B34686"/>
    <w:rsid w:val="00B4482E"/>
    <w:rsid w:val="00B975E8"/>
    <w:rsid w:val="00BE52AC"/>
    <w:rsid w:val="00BF2363"/>
    <w:rsid w:val="00BF2FD0"/>
    <w:rsid w:val="00C35004"/>
    <w:rsid w:val="00C553AB"/>
    <w:rsid w:val="00C933DD"/>
    <w:rsid w:val="00D31CF2"/>
    <w:rsid w:val="00D344FB"/>
    <w:rsid w:val="00DB061A"/>
    <w:rsid w:val="00DC339D"/>
    <w:rsid w:val="00DD2AFE"/>
    <w:rsid w:val="00DD2E07"/>
    <w:rsid w:val="00E32237"/>
    <w:rsid w:val="00F10449"/>
    <w:rsid w:val="00FA0036"/>
    <w:rsid w:val="00FE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3541"/>
    <w:rPr>
      <w:color w:val="0000FF"/>
      <w:u w:val="single"/>
    </w:rPr>
  </w:style>
  <w:style w:type="paragraph" w:styleId="Caption">
    <w:name w:val="caption"/>
    <w:basedOn w:val="Normal"/>
    <w:uiPriority w:val="35"/>
    <w:qFormat/>
    <w:rsid w:val="00AE3541"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aliases w:val="Thang2,List Paragraph1"/>
    <w:basedOn w:val="Normal"/>
    <w:link w:val="ListParagraphChar"/>
    <w:uiPriority w:val="34"/>
    <w:qFormat/>
    <w:rsid w:val="00AE3541"/>
    <w:pPr>
      <w:ind w:left="720"/>
      <w:contextualSpacing/>
    </w:pPr>
  </w:style>
  <w:style w:type="table" w:styleId="TableGrid">
    <w:name w:val="Table Grid"/>
    <w:basedOn w:val="TableNormal"/>
    <w:uiPriority w:val="59"/>
    <w:rsid w:val="00AE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hang2 Char,List Paragraph1 Char"/>
    <w:link w:val="ListParagraph"/>
    <w:uiPriority w:val="34"/>
    <w:locked/>
    <w:rsid w:val="00AE35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6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3541"/>
    <w:rPr>
      <w:color w:val="0000FF"/>
      <w:u w:val="single"/>
    </w:rPr>
  </w:style>
  <w:style w:type="paragraph" w:styleId="Caption">
    <w:name w:val="caption"/>
    <w:basedOn w:val="Normal"/>
    <w:uiPriority w:val="35"/>
    <w:qFormat/>
    <w:rsid w:val="00AE3541"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aliases w:val="Thang2,List Paragraph1"/>
    <w:basedOn w:val="Normal"/>
    <w:link w:val="ListParagraphChar"/>
    <w:uiPriority w:val="34"/>
    <w:qFormat/>
    <w:rsid w:val="00AE3541"/>
    <w:pPr>
      <w:ind w:left="720"/>
      <w:contextualSpacing/>
    </w:pPr>
  </w:style>
  <w:style w:type="table" w:styleId="TableGrid">
    <w:name w:val="Table Grid"/>
    <w:basedOn w:val="TableNormal"/>
    <w:uiPriority w:val="59"/>
    <w:rsid w:val="00AE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hang2 Char,List Paragraph1 Char"/>
    <w:link w:val="ListParagraph"/>
    <w:uiPriority w:val="34"/>
    <w:locked/>
    <w:rsid w:val="00AE35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c.v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7.jpg@01D243EE.861360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inamilk.com.v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sx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i.com.v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2016-11-29T04:23:00Z</cp:lastPrinted>
  <dcterms:created xsi:type="dcterms:W3CDTF">2016-11-29T04:36:00Z</dcterms:created>
  <dcterms:modified xsi:type="dcterms:W3CDTF">2016-11-29T04:36:00Z</dcterms:modified>
</cp:coreProperties>
</file>