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67"/>
      </w:tblGrid>
      <w:tr w:rsidR="00AE3541" w:rsidRPr="00862ECE" w:rsidTr="00953E5D">
        <w:trPr>
          <w:trHeight w:val="534"/>
        </w:trPr>
        <w:tc>
          <w:tcPr>
            <w:tcW w:w="10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743" w:type="dxa"/>
              <w:jc w:val="center"/>
              <w:tblInd w:w="28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51"/>
              <w:gridCol w:w="2164"/>
              <w:gridCol w:w="4128"/>
            </w:tblGrid>
            <w:tr w:rsidR="00AE3541" w:rsidTr="00953E5D">
              <w:trPr>
                <w:trHeight w:val="39"/>
                <w:jc w:val="center"/>
              </w:trPr>
              <w:tc>
                <w:tcPr>
                  <w:tcW w:w="44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Default="007D09CE" w:rsidP="00E65438">
                  <w:pPr>
                    <w:framePr w:hSpace="180" w:wrap="around" w:vAnchor="page" w:hAnchor="margin" w:xAlign="center" w:y="391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Theme="minorHAnsi"/>
                      <w:noProof/>
                      <w:lang w:eastAsia="en-US"/>
                    </w:rPr>
                    <w:drawing>
                      <wp:inline distT="0" distB="0" distL="0" distR="0">
                        <wp:extent cx="740075" cy="346665"/>
                        <wp:effectExtent l="19050" t="0" r="2875" b="0"/>
                        <wp:docPr id="1" name="Picture 0" descr="logosci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scic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2162" cy="3476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spacing w:line="288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TỔNG CÔNG TY ĐẦU TƯ </w:t>
                  </w: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spacing w:line="288" w:lineRule="auto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VÀ KINH DOANH VỐN NHÀ NƯỚC</w:t>
                  </w:r>
                </w:p>
              </w:tc>
              <w:tc>
                <w:tcPr>
                  <w:tcW w:w="2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47675" cy="333375"/>
                        <wp:effectExtent l="19050" t="0" r="9525" b="0"/>
                        <wp:docPr id="3" name="Picture 1" descr="cid:image007.jpg@01D243EE.861360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243EE.861360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</w:p>
                <w:p w:rsidR="00C71C85" w:rsidRDefault="00C71C85" w:rsidP="00E65438">
                  <w:pPr>
                    <w:framePr w:hSpace="180" w:wrap="around" w:vAnchor="page" w:hAnchor="margin" w:xAlign="center" w:y="391"/>
                    <w:spacing w:line="288" w:lineRule="auto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  <w:t xml:space="preserve">CÔNG TY CỔ PHẦN </w:t>
                  </w:r>
                </w:p>
                <w:p w:rsidR="00AE3541" w:rsidRDefault="00C71C85" w:rsidP="00E65438">
                  <w:pPr>
                    <w:framePr w:hSpace="180" w:wrap="around" w:vAnchor="page" w:hAnchor="margin" w:xAlign="center" w:y="391"/>
                    <w:spacing w:line="288" w:lineRule="auto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  <w:t>CHỨNG KHOÁN SÀI GÒN</w:t>
                  </w:r>
                </w:p>
              </w:tc>
            </w:tr>
          </w:tbl>
          <w:p w:rsidR="00AE3541" w:rsidRPr="00AE3541" w:rsidRDefault="00AE3541" w:rsidP="00AE3541">
            <w:pPr>
              <w:pStyle w:val="Caption"/>
              <w:spacing w:after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AE3541">
              <w:rPr>
                <w:rFonts w:cs="Times New Roman"/>
                <w:b/>
                <w:sz w:val="20"/>
                <w:szCs w:val="20"/>
              </w:rPr>
              <w:t xml:space="preserve"> THÔNG BÁO CHÀO BÁN CẠNH TRANH CỔ PHẦN</w:t>
            </w:r>
          </w:p>
          <w:p w:rsidR="00AE3541" w:rsidRPr="00AE3541" w:rsidRDefault="00AE3541" w:rsidP="00AE3541">
            <w:pPr>
              <w:pStyle w:val="Caption"/>
              <w:spacing w:before="4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3541">
              <w:rPr>
                <w:rFonts w:cs="Times New Roman"/>
                <w:b/>
                <w:sz w:val="20"/>
                <w:szCs w:val="20"/>
              </w:rPr>
              <w:t>CỦA TỔNG CÔNG TY ĐẦU TƯ VÀ KINH DOANH VỐN NHÀ NƯỚC</w:t>
            </w:r>
          </w:p>
          <w:p w:rsidR="00AE3541" w:rsidRDefault="00AE3541" w:rsidP="00AE3541">
            <w:pPr>
              <w:pStyle w:val="Caption"/>
              <w:spacing w:before="4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3541">
              <w:rPr>
                <w:rFonts w:cs="Times New Roman"/>
                <w:b/>
                <w:sz w:val="20"/>
                <w:szCs w:val="20"/>
              </w:rPr>
              <w:t>TẠI CÔNG TY CỔ PHẦN SỮA VIỆT NAM</w:t>
            </w:r>
          </w:p>
          <w:p w:rsidR="00AE3541" w:rsidRPr="00AE3541" w:rsidRDefault="00AE3541" w:rsidP="00AE3541">
            <w:pPr>
              <w:pStyle w:val="Caption"/>
              <w:spacing w:before="40" w:after="0"/>
              <w:jc w:val="center"/>
              <w:rPr>
                <w:rFonts w:cs="Times New Roman"/>
                <w:b/>
                <w:sz w:val="2"/>
                <w:szCs w:val="20"/>
              </w:rPr>
            </w:pPr>
          </w:p>
          <w:p w:rsidR="00AE3541" w:rsidRPr="00862ECE" w:rsidRDefault="00AE3541" w:rsidP="002F5A3E">
            <w:pPr>
              <w:pStyle w:val="ListParagraph"/>
              <w:spacing w:before="40" w:after="40" w:line="288" w:lineRule="auto"/>
              <w:ind w:left="0"/>
              <w:jc w:val="both"/>
              <w:rPr>
                <w:i/>
                <w:iCs/>
                <w:sz w:val="20"/>
                <w:szCs w:val="20"/>
                <w:lang w:eastAsia="vi-VN"/>
              </w:rPr>
            </w:pPr>
            <w:r w:rsidRPr="0005389B">
              <w:rPr>
                <w:i/>
                <w:iCs/>
                <w:spacing w:val="-4"/>
                <w:sz w:val="20"/>
                <w:szCs w:val="20"/>
              </w:rPr>
              <w:t xml:space="preserve">Căn cứ Quyết định </w:t>
            </w:r>
            <w:proofErr w:type="spellStart"/>
            <w:r w:rsidRPr="0005389B">
              <w:rPr>
                <w:i/>
                <w:iCs/>
                <w:spacing w:val="-4"/>
                <w:sz w:val="20"/>
                <w:szCs w:val="20"/>
              </w:rPr>
              <w:t>số</w:t>
            </w:r>
            <w:proofErr w:type="spellEnd"/>
            <w:r w:rsidRPr="0005389B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7326E8" w:rsidRPr="007326E8">
              <w:rPr>
                <w:i/>
                <w:iCs/>
                <w:spacing w:val="-4"/>
                <w:sz w:val="20"/>
                <w:szCs w:val="20"/>
              </w:rPr>
              <w:t xml:space="preserve">87/QĐ-ĐTKDV.HĐTV </w:t>
            </w:r>
            <w:r w:rsidR="007326E8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="007326E8">
              <w:rPr>
                <w:i/>
                <w:iCs/>
                <w:spacing w:val="-4"/>
                <w:sz w:val="20"/>
                <w:szCs w:val="20"/>
              </w:rPr>
              <w:t>ngày</w:t>
            </w:r>
            <w:proofErr w:type="spellEnd"/>
            <w:r w:rsidR="007326E8">
              <w:rPr>
                <w:i/>
                <w:iCs/>
                <w:spacing w:val="-4"/>
                <w:sz w:val="20"/>
                <w:szCs w:val="20"/>
              </w:rPr>
              <w:t xml:space="preserve"> 2</w:t>
            </w:r>
            <w:r w:rsidR="003B46FD">
              <w:rPr>
                <w:i/>
                <w:iCs/>
                <w:spacing w:val="-4"/>
                <w:sz w:val="20"/>
                <w:szCs w:val="20"/>
              </w:rPr>
              <w:t>8</w:t>
            </w:r>
            <w:r w:rsidR="007326E8">
              <w:rPr>
                <w:i/>
                <w:iCs/>
                <w:spacing w:val="-4"/>
                <w:sz w:val="20"/>
                <w:szCs w:val="20"/>
              </w:rPr>
              <w:t>/11/2016</w:t>
            </w:r>
            <w:r w:rsidRPr="0005389B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5389B">
              <w:rPr>
                <w:i/>
                <w:iCs/>
                <w:spacing w:val="-4"/>
                <w:sz w:val="20"/>
                <w:szCs w:val="20"/>
              </w:rPr>
              <w:t>của</w:t>
            </w:r>
            <w:proofErr w:type="spellEnd"/>
            <w:r w:rsidRPr="0005389B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5389B" w:rsidRPr="0005389B">
              <w:rPr>
                <w:i/>
                <w:iCs/>
                <w:spacing w:val="-4"/>
                <w:sz w:val="20"/>
                <w:szCs w:val="20"/>
              </w:rPr>
              <w:t>Hội</w:t>
            </w:r>
            <w:proofErr w:type="spellEnd"/>
            <w:r w:rsidR="0005389B" w:rsidRPr="0005389B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5389B" w:rsidRPr="0005389B">
              <w:rPr>
                <w:i/>
                <w:iCs/>
                <w:spacing w:val="-4"/>
                <w:sz w:val="20"/>
                <w:szCs w:val="20"/>
              </w:rPr>
              <w:t>đồng</w:t>
            </w:r>
            <w:proofErr w:type="spellEnd"/>
            <w:r w:rsidR="0005389B" w:rsidRPr="0005389B">
              <w:rPr>
                <w:i/>
                <w:iCs/>
                <w:spacing w:val="-4"/>
                <w:sz w:val="20"/>
                <w:szCs w:val="20"/>
              </w:rPr>
              <w:t xml:space="preserve"> thành viên </w:t>
            </w:r>
            <w:r w:rsidRPr="0005389B">
              <w:rPr>
                <w:i/>
                <w:iCs/>
                <w:spacing w:val="-4"/>
                <w:sz w:val="20"/>
                <w:szCs w:val="20"/>
              </w:rPr>
              <w:t xml:space="preserve">Tổng Công ty Đầu tư và Kinh doanh vốn Nhà nước </w:t>
            </w:r>
            <w:r w:rsidR="0005389B" w:rsidRPr="0005389B">
              <w:rPr>
                <w:i/>
                <w:iCs/>
                <w:spacing w:val="-4"/>
                <w:sz w:val="20"/>
                <w:szCs w:val="20"/>
              </w:rPr>
              <w:t xml:space="preserve">(SCIC) </w:t>
            </w:r>
            <w:r w:rsidRPr="0005389B">
              <w:rPr>
                <w:i/>
                <w:iCs/>
                <w:spacing w:val="-4"/>
                <w:sz w:val="20"/>
                <w:szCs w:val="20"/>
              </w:rPr>
              <w:t>về việc chào bán cạnh tranh cổ phần của SCIC tại Công ty Cổ phần Sữa Việt Nam, SCIC thông báo</w:t>
            </w:r>
            <w:r w:rsidR="00C71C85">
              <w:rPr>
                <w:i/>
                <w:iCs/>
                <w:spacing w:val="-4"/>
                <w:sz w:val="20"/>
                <w:szCs w:val="20"/>
              </w:rPr>
              <w:t xml:space="preserve"> về</w:t>
            </w:r>
            <w:r w:rsidRPr="0005389B">
              <w:rPr>
                <w:i/>
                <w:iCs/>
                <w:spacing w:val="-4"/>
                <w:sz w:val="20"/>
                <w:szCs w:val="20"/>
              </w:rPr>
              <w:t xml:space="preserve"> việc Chào bán cạnh tranh cổ phần như sau</w:t>
            </w:r>
            <w:r w:rsidRPr="00862ECE">
              <w:rPr>
                <w:i/>
                <w:iCs/>
                <w:sz w:val="20"/>
                <w:szCs w:val="20"/>
              </w:rPr>
              <w:t>:</w:t>
            </w:r>
          </w:p>
          <w:p w:rsidR="00AE3541" w:rsidRPr="00862ECE" w:rsidRDefault="00AE3541" w:rsidP="00867D85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  <w:lang w:eastAsia="en-US"/>
              </w:rPr>
            </w:pPr>
            <w:r w:rsidRPr="00862ECE">
              <w:rPr>
                <w:b/>
                <w:bCs/>
                <w:sz w:val="20"/>
                <w:szCs w:val="20"/>
              </w:rPr>
              <w:t>Thông tin</w:t>
            </w:r>
            <w:r w:rsidR="00C368D6">
              <w:rPr>
                <w:b/>
                <w:bCs/>
                <w:sz w:val="20"/>
                <w:szCs w:val="20"/>
              </w:rPr>
              <w:t xml:space="preserve"> về doanh nghiệp:       </w:t>
            </w:r>
            <w:r w:rsidRPr="00862ECE">
              <w:rPr>
                <w:b/>
                <w:bCs/>
                <w:sz w:val="20"/>
                <w:szCs w:val="20"/>
              </w:rPr>
              <w:t>CÔNG TY CỔ PHẦN SỮA VIỆT NAM (VNM)</w:t>
            </w:r>
          </w:p>
          <w:p w:rsidR="00AE3541" w:rsidRPr="00862ECE" w:rsidRDefault="00AE3541" w:rsidP="002F5A3E">
            <w:pPr>
              <w:tabs>
                <w:tab w:val="left" w:pos="3119"/>
              </w:tabs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862ECE">
              <w:rPr>
                <w:sz w:val="20"/>
                <w:szCs w:val="20"/>
              </w:rPr>
              <w:t>Địa chỉ: Số 10 Tân Trào, Phường Tân Phú, Quận 7, TP. HCM</w:t>
            </w:r>
            <w:r>
              <w:rPr>
                <w:sz w:val="20"/>
                <w:szCs w:val="20"/>
              </w:rPr>
              <w:t xml:space="preserve"> </w:t>
            </w:r>
            <w:r w:rsidRPr="00862ECE">
              <w:rPr>
                <w:sz w:val="20"/>
                <w:szCs w:val="20"/>
              </w:rPr>
              <w:t>      Điện thoại: (84-8) 5415 5555            Fax: (84-8) 5416 122</w:t>
            </w:r>
          </w:p>
          <w:p w:rsidR="00AE3541" w:rsidRPr="00862ECE" w:rsidRDefault="00AE3541" w:rsidP="002F5A3E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b/>
                <w:bCs/>
                <w:sz w:val="20"/>
                <w:szCs w:val="20"/>
              </w:rPr>
              <w:t>Lĩnh vực kinh doanh chính:        </w:t>
            </w:r>
            <w:r w:rsidRPr="00862ECE">
              <w:rPr>
                <w:sz w:val="20"/>
                <w:szCs w:val="20"/>
              </w:rPr>
              <w:t>Chế biến, sản xuất và kinh doanh sữa tươi, sữa hộp, sữa bột, bột dinh dưỡng, sữa đậu nành, nước giải khát và các sản phẩm từ sữa khác; trồng trọt, chăn nuôi v.v.</w:t>
            </w:r>
          </w:p>
          <w:p w:rsidR="00AE3541" w:rsidRPr="00862ECE" w:rsidRDefault="00AE3541" w:rsidP="002F5A3E">
            <w:pPr>
              <w:pStyle w:val="ListParagraph"/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b/>
                <w:bCs/>
                <w:sz w:val="20"/>
                <w:szCs w:val="20"/>
              </w:rPr>
              <w:t>Vốn điều lệ:    </w:t>
            </w:r>
            <w:r w:rsidR="009160A9">
              <w:rPr>
                <w:b/>
                <w:bCs/>
                <w:sz w:val="20"/>
                <w:szCs w:val="20"/>
              </w:rPr>
              <w:t xml:space="preserve">                            </w:t>
            </w:r>
            <w:r w:rsidRPr="00862ECE">
              <w:rPr>
                <w:sz w:val="20"/>
                <w:szCs w:val="20"/>
              </w:rPr>
              <w:t>14.514.534.290.000 đồng</w:t>
            </w:r>
          </w:p>
          <w:p w:rsidR="00AE3541" w:rsidRPr="005C395E" w:rsidRDefault="00AE3541" w:rsidP="002F5A3E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b/>
                <w:bCs/>
                <w:sz w:val="20"/>
                <w:szCs w:val="20"/>
              </w:rPr>
              <w:t>Tổng số cổ phần chào bán</w:t>
            </w:r>
            <w:r w:rsidRPr="009160A9">
              <w:rPr>
                <w:b/>
                <w:bCs/>
                <w:sz w:val="20"/>
                <w:szCs w:val="20"/>
              </w:rPr>
              <w:t>:</w:t>
            </w:r>
            <w:r w:rsidR="007D09CE" w:rsidRPr="009160A9">
              <w:rPr>
                <w:b/>
                <w:bCs/>
                <w:sz w:val="20"/>
                <w:szCs w:val="20"/>
              </w:rPr>
              <w:t>          </w:t>
            </w:r>
            <w:r w:rsidRPr="009160A9">
              <w:rPr>
                <w:b/>
                <w:bCs/>
                <w:sz w:val="20"/>
                <w:szCs w:val="20"/>
              </w:rPr>
              <w:t>130.630.500</w:t>
            </w:r>
            <w:r w:rsidRPr="00862ECE">
              <w:rPr>
                <w:sz w:val="20"/>
                <w:szCs w:val="20"/>
              </w:rPr>
              <w:t xml:space="preserve"> cổ phần; Tổng giá trị theo mệnh </w:t>
            </w:r>
            <w:proofErr w:type="spellStart"/>
            <w:r w:rsidRPr="00862ECE">
              <w:rPr>
                <w:sz w:val="20"/>
                <w:szCs w:val="20"/>
              </w:rPr>
              <w:t>giá</w:t>
            </w:r>
            <w:proofErr w:type="spellEnd"/>
            <w:r w:rsidRPr="00862EC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1.306.305.000.000</w:t>
            </w:r>
            <w:r w:rsidRPr="00862ECE">
              <w:rPr>
                <w:sz w:val="20"/>
                <w:szCs w:val="20"/>
              </w:rPr>
              <w:t xml:space="preserve"> </w:t>
            </w:r>
            <w:proofErr w:type="spellStart"/>
            <w:r w:rsidRPr="00862ECE">
              <w:rPr>
                <w:sz w:val="20"/>
                <w:szCs w:val="20"/>
              </w:rPr>
              <w:t>đồng</w:t>
            </w:r>
            <w:proofErr w:type="spellEnd"/>
            <w:r w:rsidRPr="00862ECE">
              <w:rPr>
                <w:sz w:val="20"/>
                <w:szCs w:val="20"/>
              </w:rPr>
              <w:t xml:space="preserve">, </w:t>
            </w:r>
            <w:proofErr w:type="spellStart"/>
            <w:r w:rsidR="003B46FD">
              <w:rPr>
                <w:sz w:val="20"/>
                <w:szCs w:val="20"/>
              </w:rPr>
              <w:t>tương</w:t>
            </w:r>
            <w:proofErr w:type="spellEnd"/>
            <w:r w:rsidR="003B46FD">
              <w:rPr>
                <w:sz w:val="20"/>
                <w:szCs w:val="20"/>
              </w:rPr>
              <w:t xml:space="preserve"> </w:t>
            </w:r>
            <w:proofErr w:type="spellStart"/>
            <w:r w:rsidR="003B46FD">
              <w:rPr>
                <w:sz w:val="20"/>
                <w:szCs w:val="20"/>
              </w:rPr>
              <w:t>ứng</w:t>
            </w:r>
            <w:proofErr w:type="spellEnd"/>
            <w:r w:rsidR="003B46FD" w:rsidRPr="00862ECE">
              <w:rPr>
                <w:sz w:val="20"/>
                <w:szCs w:val="20"/>
              </w:rPr>
              <w:t xml:space="preserve"> </w:t>
            </w:r>
            <w:r w:rsidRPr="005C395E">
              <w:rPr>
                <w:sz w:val="20"/>
                <w:szCs w:val="20"/>
              </w:rPr>
              <w:t xml:space="preserve">9% </w:t>
            </w:r>
            <w:proofErr w:type="spellStart"/>
            <w:r w:rsidRPr="005C395E">
              <w:rPr>
                <w:sz w:val="20"/>
                <w:szCs w:val="20"/>
              </w:rPr>
              <w:t>vốn</w:t>
            </w:r>
            <w:proofErr w:type="spellEnd"/>
            <w:r w:rsidRPr="005C395E">
              <w:rPr>
                <w:sz w:val="20"/>
                <w:szCs w:val="20"/>
              </w:rPr>
              <w:t xml:space="preserve"> </w:t>
            </w:r>
            <w:proofErr w:type="spellStart"/>
            <w:r w:rsidRPr="005C395E">
              <w:rPr>
                <w:sz w:val="20"/>
                <w:szCs w:val="20"/>
              </w:rPr>
              <w:t>điều</w:t>
            </w:r>
            <w:proofErr w:type="spellEnd"/>
            <w:r w:rsidRPr="005C395E">
              <w:rPr>
                <w:sz w:val="20"/>
                <w:szCs w:val="20"/>
              </w:rPr>
              <w:t xml:space="preserve"> lệ</w:t>
            </w:r>
            <w:r w:rsidR="00867D85">
              <w:rPr>
                <w:sz w:val="20"/>
                <w:szCs w:val="20"/>
              </w:rPr>
              <w:t xml:space="preserve"> Vinamilk</w:t>
            </w:r>
          </w:p>
          <w:p w:rsidR="00AE3541" w:rsidRPr="00862ECE" w:rsidRDefault="00AE3541" w:rsidP="002F5A3E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b/>
                <w:bCs/>
                <w:sz w:val="20"/>
                <w:szCs w:val="20"/>
                <w:lang w:val="vi-VN"/>
              </w:rPr>
              <w:t>Điều kiện tham dự:</w:t>
            </w:r>
            <w:r w:rsidR="00C71C85">
              <w:rPr>
                <w:b/>
                <w:bCs/>
                <w:sz w:val="20"/>
                <w:szCs w:val="20"/>
              </w:rPr>
              <w:t xml:space="preserve">                      </w:t>
            </w:r>
            <w:r w:rsidRPr="00862ECE">
              <w:rPr>
                <w:sz w:val="20"/>
                <w:szCs w:val="20"/>
              </w:rPr>
              <w:t>Tất cả các nhà đầu tư đáp ứng các điều kiện t</w:t>
            </w:r>
            <w:r w:rsidRPr="00862ECE">
              <w:rPr>
                <w:sz w:val="20"/>
                <w:szCs w:val="20"/>
                <w:lang w:val="vi-VN"/>
              </w:rPr>
              <w:t xml:space="preserve">heo quy định tại Quy chế </w:t>
            </w:r>
            <w:r w:rsidRPr="00862ECE">
              <w:rPr>
                <w:sz w:val="20"/>
                <w:szCs w:val="20"/>
              </w:rPr>
              <w:t>chào bán cạnh tranh cổ phần của Tổng công ty Đầu tư và Kinh doanh vốn nhà nước tại Công ty cổ phần Sữa Việt Nam</w:t>
            </w:r>
            <w:r w:rsidR="00641821">
              <w:rPr>
                <w:sz w:val="20"/>
                <w:szCs w:val="20"/>
              </w:rPr>
              <w:t xml:space="preserve"> (Quy chế)</w:t>
            </w:r>
            <w:r w:rsidRPr="00862ECE">
              <w:rPr>
                <w:sz w:val="20"/>
                <w:szCs w:val="20"/>
              </w:rPr>
              <w:t>.</w:t>
            </w:r>
          </w:p>
          <w:p w:rsidR="00AE3541" w:rsidRPr="0054467C" w:rsidRDefault="00AE3541" w:rsidP="002F5A3E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b/>
                <w:bCs/>
                <w:sz w:val="20"/>
                <w:szCs w:val="20"/>
              </w:rPr>
              <w:t>Tổ chức tư v</w:t>
            </w:r>
            <w:r w:rsidR="007D09CE">
              <w:rPr>
                <w:b/>
                <w:bCs/>
                <w:sz w:val="20"/>
                <w:szCs w:val="20"/>
              </w:rPr>
              <w:t xml:space="preserve">ấn:                             </w:t>
            </w:r>
            <w:r w:rsidRPr="0054467C">
              <w:rPr>
                <w:sz w:val="20"/>
                <w:szCs w:val="20"/>
              </w:rPr>
              <w:t>Liên danh tư vấn gồm: Công ty Morgan Stanley Asia (Singapore) Limited, Công ty cổ phần Chứng Khoán Sài Gòn, Công ty TNHH VinaCapital Corporate Finance Việt Nam)</w:t>
            </w:r>
          </w:p>
          <w:p w:rsidR="00AE3541" w:rsidRPr="00862ECE" w:rsidRDefault="00AE3541" w:rsidP="009160A9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jc w:val="both"/>
              <w:rPr>
                <w:b/>
                <w:bCs/>
                <w:sz w:val="20"/>
                <w:szCs w:val="20"/>
              </w:rPr>
            </w:pPr>
            <w:r w:rsidRPr="00862ECE">
              <w:rPr>
                <w:b/>
                <w:bCs/>
                <w:sz w:val="20"/>
                <w:szCs w:val="20"/>
              </w:rPr>
              <w:t xml:space="preserve">Tổ chức thực </w:t>
            </w:r>
            <w:r w:rsidR="009160A9">
              <w:rPr>
                <w:b/>
                <w:bCs/>
                <w:sz w:val="20"/>
                <w:szCs w:val="20"/>
              </w:rPr>
              <w:t>hiện chào bán:     </w:t>
            </w:r>
            <w:r w:rsidRPr="00862ECE">
              <w:rPr>
                <w:b/>
                <w:bCs/>
                <w:sz w:val="20"/>
                <w:szCs w:val="20"/>
              </w:rPr>
              <w:t>Sở Giao dịch Chứng khoán Thành phố Hồ Chí Minh (HOSE)</w:t>
            </w:r>
          </w:p>
          <w:p w:rsidR="00AE3541" w:rsidRPr="00862ECE" w:rsidRDefault="00AE3541" w:rsidP="0036119D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b/>
                <w:bCs/>
                <w:sz w:val="20"/>
                <w:szCs w:val="20"/>
              </w:rPr>
              <w:t>Cổ phần chào bán:</w:t>
            </w:r>
          </w:p>
          <w:tbl>
            <w:tblPr>
              <w:tblW w:w="1081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95"/>
              <w:gridCol w:w="240"/>
              <w:gridCol w:w="2030"/>
              <w:gridCol w:w="238"/>
              <w:gridCol w:w="1968"/>
              <w:gridCol w:w="238"/>
              <w:gridCol w:w="2586"/>
              <w:gridCol w:w="575"/>
              <w:gridCol w:w="41"/>
            </w:tblGrid>
            <w:tr w:rsidR="00AE3541" w:rsidRPr="0036119D" w:rsidTr="00873580">
              <w:trPr>
                <w:gridAfter w:val="2"/>
                <w:wAfter w:w="286" w:type="pct"/>
                <w:trHeight w:val="14"/>
              </w:trPr>
              <w:tc>
                <w:tcPr>
                  <w:tcW w:w="1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36119D" w:rsidRDefault="00AE3541" w:rsidP="0036119D">
                  <w:pPr>
                    <w:framePr w:hSpace="180" w:wrap="around" w:vAnchor="page" w:hAnchor="margin" w:xAlign="center" w:y="391"/>
                    <w:numPr>
                      <w:ilvl w:val="0"/>
                      <w:numId w:val="2"/>
                    </w:numPr>
                    <w:suppressAutoHyphens w:val="0"/>
                    <w:spacing w:line="252" w:lineRule="auto"/>
                    <w:ind w:left="332" w:hanging="274"/>
                    <w:jc w:val="both"/>
                    <w:rPr>
                      <w:sz w:val="20"/>
                      <w:szCs w:val="20"/>
                    </w:rPr>
                  </w:pPr>
                  <w:r w:rsidRPr="00862ECE">
                    <w:rPr>
                      <w:sz w:val="20"/>
                      <w:szCs w:val="20"/>
                    </w:rPr>
                    <w:t>Số lượng cổ phần chào bán</w:t>
                  </w:r>
                  <w:r w:rsidR="0036119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36119D" w:rsidRDefault="00AE3541" w:rsidP="0036119D">
                  <w:pPr>
                    <w:framePr w:hSpace="180" w:wrap="around" w:vAnchor="page" w:hAnchor="margin" w:xAlign="center" w:y="391"/>
                    <w:suppressAutoHyphens w:val="0"/>
                    <w:spacing w:line="252" w:lineRule="auto"/>
                    <w:ind w:left="33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36119D" w:rsidRDefault="00AE3541" w:rsidP="0036119D">
                  <w:pPr>
                    <w:framePr w:hSpace="180" w:wrap="around" w:vAnchor="page" w:hAnchor="margin" w:xAlign="center" w:y="391"/>
                    <w:suppressAutoHyphens w:val="0"/>
                    <w:spacing w:line="252" w:lineRule="auto"/>
                    <w:ind w:left="58" w:right="-179"/>
                    <w:jc w:val="both"/>
                    <w:rPr>
                      <w:sz w:val="20"/>
                      <w:szCs w:val="20"/>
                    </w:rPr>
                  </w:pPr>
                  <w:r w:rsidRPr="0036119D">
                    <w:rPr>
                      <w:sz w:val="20"/>
                      <w:szCs w:val="20"/>
                    </w:rPr>
                    <w:t>130.630.500 cổ phần</w:t>
                  </w:r>
                </w:p>
              </w:tc>
              <w:tc>
                <w:tcPr>
                  <w:tcW w:w="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36119D" w:rsidRDefault="00AE3541" w:rsidP="0036119D">
                  <w:pPr>
                    <w:framePr w:hSpace="180" w:wrap="around" w:vAnchor="page" w:hAnchor="margin" w:xAlign="center" w:y="391"/>
                    <w:suppressAutoHyphens w:val="0"/>
                    <w:spacing w:line="252" w:lineRule="auto"/>
                    <w:ind w:left="33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36119D" w:rsidRDefault="00AE3541" w:rsidP="00B77559">
                  <w:pPr>
                    <w:framePr w:hSpace="180" w:wrap="around" w:vAnchor="page" w:hAnchor="margin" w:xAlign="center" w:y="391"/>
                    <w:numPr>
                      <w:ilvl w:val="0"/>
                      <w:numId w:val="2"/>
                    </w:numPr>
                    <w:suppressAutoHyphens w:val="0"/>
                    <w:spacing w:line="252" w:lineRule="auto"/>
                    <w:ind w:left="294" w:hanging="294"/>
                    <w:jc w:val="both"/>
                    <w:rPr>
                      <w:sz w:val="20"/>
                      <w:szCs w:val="20"/>
                    </w:rPr>
                  </w:pPr>
                  <w:r w:rsidRPr="00862ECE">
                    <w:rPr>
                      <w:sz w:val="20"/>
                      <w:szCs w:val="20"/>
                    </w:rPr>
                    <w:t>Giá khởi điểm:</w:t>
                  </w:r>
                </w:p>
              </w:tc>
              <w:tc>
                <w:tcPr>
                  <w:tcW w:w="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36119D" w:rsidRDefault="00AE3541" w:rsidP="0036119D">
                  <w:pPr>
                    <w:framePr w:hSpace="180" w:wrap="around" w:vAnchor="page" w:hAnchor="margin" w:xAlign="center" w:y="391"/>
                    <w:suppressAutoHyphens w:val="0"/>
                    <w:spacing w:line="252" w:lineRule="auto"/>
                    <w:ind w:left="33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36119D" w:rsidRDefault="00AE3541" w:rsidP="00B77559">
                  <w:pPr>
                    <w:framePr w:hSpace="180" w:wrap="around" w:vAnchor="page" w:hAnchor="margin" w:xAlign="center" w:y="391"/>
                    <w:suppressAutoHyphens w:val="0"/>
                    <w:spacing w:line="252" w:lineRule="auto"/>
                    <w:ind w:left="-63"/>
                    <w:jc w:val="both"/>
                    <w:rPr>
                      <w:sz w:val="20"/>
                      <w:szCs w:val="20"/>
                    </w:rPr>
                  </w:pPr>
                  <w:r w:rsidRPr="0036119D">
                    <w:rPr>
                      <w:sz w:val="20"/>
                      <w:szCs w:val="20"/>
                    </w:rPr>
                    <w:t>144.000 đồng/ cổ phần</w:t>
                  </w:r>
                </w:p>
              </w:tc>
            </w:tr>
            <w:tr w:rsidR="00AE3541" w:rsidRPr="00862ECE" w:rsidTr="00873580">
              <w:trPr>
                <w:gridAfter w:val="1"/>
                <w:wAfter w:w="19" w:type="pct"/>
                <w:trHeight w:val="14"/>
              </w:trPr>
              <w:tc>
                <w:tcPr>
                  <w:tcW w:w="1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AE3541" w:rsidP="0036119D">
                  <w:pPr>
                    <w:framePr w:hSpace="180" w:wrap="around" w:vAnchor="page" w:hAnchor="margin" w:xAlign="center" w:y="391"/>
                    <w:numPr>
                      <w:ilvl w:val="0"/>
                      <w:numId w:val="2"/>
                    </w:numPr>
                    <w:suppressAutoHyphens w:val="0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862ECE">
                    <w:rPr>
                      <w:sz w:val="20"/>
                      <w:szCs w:val="20"/>
                    </w:rPr>
                    <w:t>Loại cổ phần chào bán:</w:t>
                  </w:r>
                </w:p>
              </w:tc>
              <w:tc>
                <w:tcPr>
                  <w:tcW w:w="11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36119D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AE3541" w:rsidP="0036119D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862ECE">
                    <w:rPr>
                      <w:sz w:val="20"/>
                      <w:szCs w:val="20"/>
                    </w:rPr>
                    <w:t>Cổ phần phổ thông</w:t>
                  </w:r>
                </w:p>
              </w:tc>
              <w:tc>
                <w:tcPr>
                  <w:tcW w:w="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36119D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AE3541" w:rsidP="00B77559">
                  <w:pPr>
                    <w:framePr w:hSpace="180" w:wrap="around" w:vAnchor="page" w:hAnchor="margin" w:xAlign="center" w:y="391"/>
                    <w:numPr>
                      <w:ilvl w:val="0"/>
                      <w:numId w:val="3"/>
                    </w:numPr>
                    <w:suppressAutoHyphens w:val="0"/>
                    <w:spacing w:line="252" w:lineRule="auto"/>
                    <w:ind w:left="294" w:hanging="29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862ECE">
                    <w:rPr>
                      <w:sz w:val="20"/>
                      <w:szCs w:val="20"/>
                    </w:rPr>
                    <w:t>Bước giá:</w:t>
                  </w:r>
                </w:p>
              </w:tc>
              <w:tc>
                <w:tcPr>
                  <w:tcW w:w="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36119D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62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19173D" w:rsidRDefault="00AE3541" w:rsidP="00B77559">
                  <w:pPr>
                    <w:framePr w:hSpace="180" w:wrap="around" w:vAnchor="page" w:hAnchor="margin" w:xAlign="center" w:y="391"/>
                    <w:spacing w:line="252" w:lineRule="auto"/>
                    <w:ind w:left="-63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19173D">
                    <w:rPr>
                      <w:sz w:val="20"/>
                      <w:szCs w:val="20"/>
                    </w:rPr>
                    <w:t>100 đồng</w:t>
                  </w:r>
                </w:p>
              </w:tc>
            </w:tr>
            <w:tr w:rsidR="00AE3541" w:rsidRPr="00862ECE" w:rsidTr="00873580">
              <w:trPr>
                <w:gridAfter w:val="1"/>
                <w:wAfter w:w="19" w:type="pct"/>
                <w:trHeight w:val="14"/>
              </w:trPr>
              <w:tc>
                <w:tcPr>
                  <w:tcW w:w="1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AE3541" w:rsidP="0036119D">
                  <w:pPr>
                    <w:framePr w:hSpace="180" w:wrap="around" w:vAnchor="page" w:hAnchor="margin" w:xAlign="center" w:y="391"/>
                    <w:numPr>
                      <w:ilvl w:val="0"/>
                      <w:numId w:val="2"/>
                    </w:numPr>
                    <w:suppressAutoHyphens w:val="0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862ECE">
                    <w:rPr>
                      <w:sz w:val="20"/>
                      <w:szCs w:val="20"/>
                    </w:rPr>
                    <w:t>Mệnh giá: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36119D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AE3541" w:rsidP="0036119D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862ECE">
                    <w:rPr>
                      <w:sz w:val="20"/>
                      <w:szCs w:val="20"/>
                    </w:rPr>
                    <w:t>10.000 đồng</w:t>
                  </w:r>
                </w:p>
              </w:tc>
              <w:tc>
                <w:tcPr>
                  <w:tcW w:w="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36119D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AE3541" w:rsidP="00B77559">
                  <w:pPr>
                    <w:framePr w:hSpace="180" w:wrap="around" w:vAnchor="page" w:hAnchor="margin" w:xAlign="center" w:y="391"/>
                    <w:numPr>
                      <w:ilvl w:val="0"/>
                      <w:numId w:val="3"/>
                    </w:numPr>
                    <w:suppressAutoHyphens w:val="0"/>
                    <w:spacing w:line="252" w:lineRule="auto"/>
                    <w:ind w:left="294" w:right="-109" w:hanging="29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862ECE">
                    <w:rPr>
                      <w:sz w:val="20"/>
                      <w:szCs w:val="20"/>
                    </w:rPr>
                    <w:t>Bước khối lượng:</w:t>
                  </w:r>
                </w:p>
              </w:tc>
              <w:tc>
                <w:tcPr>
                  <w:tcW w:w="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36119D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62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B77559" w:rsidRDefault="00F02088" w:rsidP="00F02088">
                  <w:pPr>
                    <w:framePr w:hSpace="180" w:wrap="around" w:vAnchor="page" w:hAnchor="margin" w:xAlign="center" w:y="391"/>
                    <w:spacing w:line="252" w:lineRule="auto"/>
                    <w:ind w:left="-63"/>
                    <w:jc w:val="both"/>
                    <w:rPr>
                      <w:rFonts w:eastAsia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  <w:lang w:val="nl-NL"/>
                    </w:rPr>
                    <w:t>10</w:t>
                  </w:r>
                  <w:r w:rsidR="00AE3541" w:rsidRPr="00B77559">
                    <w:rPr>
                      <w:spacing w:val="-2"/>
                      <w:sz w:val="20"/>
                      <w:szCs w:val="20"/>
                      <w:lang w:val="nl-NL"/>
                    </w:rPr>
                    <w:t xml:space="preserve"> cổ phần</w:t>
                  </w:r>
                  <w:r w:rsidR="0036119D" w:rsidRPr="00B77559">
                    <w:rPr>
                      <w:spacing w:val="-2"/>
                      <w:sz w:val="20"/>
                      <w:szCs w:val="20"/>
                      <w:lang w:val="nl-NL"/>
                    </w:rPr>
                    <w:t xml:space="preserve"> </w:t>
                  </w:r>
                </w:p>
              </w:tc>
            </w:tr>
            <w:tr w:rsidR="00AE3541" w:rsidRPr="00862ECE" w:rsidTr="00873580">
              <w:trPr>
                <w:trHeight w:val="14"/>
              </w:trPr>
              <w:tc>
                <w:tcPr>
                  <w:tcW w:w="5000" w:type="pct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AE3541">
                  <w:pPr>
                    <w:framePr w:hSpace="180" w:wrap="around" w:vAnchor="page" w:hAnchor="margin" w:xAlign="center" w:y="391"/>
                    <w:numPr>
                      <w:ilvl w:val="0"/>
                      <w:numId w:val="3"/>
                    </w:numPr>
                    <w:suppressAutoHyphens w:val="0"/>
                    <w:spacing w:line="252" w:lineRule="auto"/>
                    <w:ind w:left="294" w:hanging="260"/>
                    <w:jc w:val="both"/>
                    <w:rPr>
                      <w:rFonts w:eastAsiaTheme="minorHAnsi"/>
                      <w:sz w:val="20"/>
                      <w:szCs w:val="20"/>
                      <w:lang w:val="nl-NL"/>
                    </w:rPr>
                  </w:pPr>
                  <w:proofErr w:type="spellStart"/>
                  <w:r w:rsidRPr="0019173D">
                    <w:rPr>
                      <w:sz w:val="20"/>
                      <w:szCs w:val="20"/>
                    </w:rPr>
                    <w:t>Số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lượng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cổ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phần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mỗi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nhà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đầu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tư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cá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nhân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pháp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nhân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đăng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ký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mua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tối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173D">
                    <w:rPr>
                      <w:sz w:val="20"/>
                      <w:szCs w:val="20"/>
                    </w:rPr>
                    <w:t>thiểu</w:t>
                  </w:r>
                  <w:proofErr w:type="spellEnd"/>
                  <w:r w:rsidRPr="0019173D">
                    <w:rPr>
                      <w:sz w:val="20"/>
                      <w:szCs w:val="20"/>
                    </w:rPr>
                    <w:t xml:space="preserve">: </w:t>
                  </w:r>
                  <w:r w:rsidR="00A84FBC">
                    <w:rPr>
                      <w:sz w:val="20"/>
                      <w:szCs w:val="20"/>
                    </w:rPr>
                    <w:t>20.000</w:t>
                  </w:r>
                  <w:r w:rsidR="00F0208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02088">
                    <w:rPr>
                      <w:sz w:val="20"/>
                      <w:szCs w:val="20"/>
                    </w:rPr>
                    <w:t>cổ</w:t>
                  </w:r>
                  <w:proofErr w:type="spellEnd"/>
                  <w:r w:rsidR="00F0208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02088">
                    <w:rPr>
                      <w:sz w:val="20"/>
                      <w:szCs w:val="20"/>
                    </w:rPr>
                    <w:t>phần</w:t>
                  </w:r>
                  <w:proofErr w:type="spellEnd"/>
                  <w:r w:rsidR="003B46FD">
                    <w:rPr>
                      <w:sz w:val="20"/>
                      <w:szCs w:val="20"/>
                    </w:rPr>
                    <w:t xml:space="preserve"> </w:t>
                  </w:r>
                  <w:r w:rsidR="003B46FD">
                    <w:rPr>
                      <w:sz w:val="20"/>
                      <w:szCs w:val="20"/>
                      <w:lang w:val="nl-NL"/>
                    </w:rPr>
                    <w:t>(đủ điều kiện để giao dịch thỏa thuận theo quy định tại Quy chế giao dịch của HOSE)</w:t>
                  </w:r>
                </w:p>
              </w:tc>
            </w:tr>
            <w:tr w:rsidR="00AE3541" w:rsidRPr="00862ECE" w:rsidTr="00873580">
              <w:trPr>
                <w:trHeight w:val="14"/>
              </w:trPr>
              <w:tc>
                <w:tcPr>
                  <w:tcW w:w="5000" w:type="pct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19173D" w:rsidRDefault="00AE3541" w:rsidP="00760430">
                  <w:pPr>
                    <w:framePr w:hSpace="180" w:wrap="around" w:vAnchor="page" w:hAnchor="margin" w:xAlign="center" w:y="391"/>
                    <w:numPr>
                      <w:ilvl w:val="0"/>
                      <w:numId w:val="3"/>
                    </w:numPr>
                    <w:suppressAutoHyphens w:val="0"/>
                    <w:spacing w:line="252" w:lineRule="auto"/>
                    <w:ind w:left="294" w:hanging="260"/>
                    <w:jc w:val="both"/>
                    <w:rPr>
                      <w:rFonts w:eastAsiaTheme="minorHAnsi"/>
                      <w:sz w:val="20"/>
                      <w:szCs w:val="20"/>
                      <w:lang w:val="nl-NL"/>
                    </w:rPr>
                  </w:pPr>
                  <w:r w:rsidRPr="0019173D">
                    <w:rPr>
                      <w:sz w:val="20"/>
                      <w:szCs w:val="20"/>
                    </w:rPr>
                    <w:t>Số lượng cổ phần mỗi nhà đầu tư cá nhân, pháp nhân</w:t>
                  </w:r>
                  <w:r w:rsidR="00C368D6">
                    <w:rPr>
                      <w:sz w:val="20"/>
                      <w:szCs w:val="20"/>
                    </w:rPr>
                    <w:t xml:space="preserve"> được</w:t>
                  </w:r>
                  <w:r w:rsidRPr="0019173D">
                    <w:rPr>
                      <w:sz w:val="20"/>
                      <w:szCs w:val="20"/>
                    </w:rPr>
                    <w:t xml:space="preserve"> đăng ký mua tối đa: </w:t>
                  </w:r>
                  <w:r w:rsidR="00C65AD2">
                    <w:rPr>
                      <w:sz w:val="20"/>
                      <w:szCs w:val="20"/>
                    </w:rPr>
                    <w:t>39.189.150</w:t>
                  </w:r>
                  <w:r w:rsidRPr="0019173D">
                    <w:rPr>
                      <w:sz w:val="20"/>
                      <w:szCs w:val="20"/>
                    </w:rPr>
                    <w:t xml:space="preserve"> cổ phần</w:t>
                  </w:r>
                  <w:r w:rsidR="0036119D">
                    <w:rPr>
                      <w:sz w:val="20"/>
                      <w:szCs w:val="20"/>
                    </w:rPr>
                    <w:t xml:space="preserve"> </w:t>
                  </w:r>
                  <w:r w:rsidR="0036119D">
                    <w:rPr>
                      <w:sz w:val="20"/>
                      <w:szCs w:val="20"/>
                      <w:lang w:val="nl-NL"/>
                    </w:rPr>
                    <w:t xml:space="preserve">(2,7% </w:t>
                  </w:r>
                  <w:r w:rsidR="00B77559">
                    <w:rPr>
                      <w:sz w:val="20"/>
                      <w:szCs w:val="20"/>
                      <w:lang w:val="nl-NL"/>
                    </w:rPr>
                    <w:t>vốn điều lệ</w:t>
                  </w:r>
                  <w:r w:rsidR="0036119D">
                    <w:rPr>
                      <w:sz w:val="20"/>
                      <w:szCs w:val="20"/>
                      <w:lang w:val="nl-NL"/>
                    </w:rPr>
                    <w:t>)</w:t>
                  </w:r>
                </w:p>
              </w:tc>
            </w:tr>
            <w:tr w:rsidR="00AE3541" w:rsidRPr="00862ECE" w:rsidTr="00873580">
              <w:trPr>
                <w:trHeight w:val="14"/>
              </w:trPr>
              <w:tc>
                <w:tcPr>
                  <w:tcW w:w="5000" w:type="pct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19173D" w:rsidRDefault="00AE3541" w:rsidP="00760430">
                  <w:pPr>
                    <w:framePr w:hSpace="180" w:wrap="around" w:vAnchor="page" w:hAnchor="margin" w:xAlign="center" w:y="391"/>
                    <w:numPr>
                      <w:ilvl w:val="0"/>
                      <w:numId w:val="3"/>
                    </w:numPr>
                    <w:suppressAutoHyphens w:val="0"/>
                    <w:spacing w:line="252" w:lineRule="auto"/>
                    <w:ind w:left="294" w:hanging="260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19173D">
                    <w:rPr>
                      <w:sz w:val="20"/>
                      <w:szCs w:val="20"/>
                    </w:rPr>
                    <w:t>Tiền đặt cọc: Bằng 10% giá trị cổ phần đăng ký mua tính theo giá khởi điểm chào bán</w:t>
                  </w:r>
                  <w:r w:rsidR="00753975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AE3541" w:rsidRPr="00862ECE" w:rsidRDefault="00FE0DD2" w:rsidP="002F5A3E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Công bố thông tin:</w:t>
            </w:r>
          </w:p>
          <w:p w:rsidR="00AE3541" w:rsidRPr="00862ECE" w:rsidRDefault="00AE3541" w:rsidP="002F5A3E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sz w:val="20"/>
                <w:szCs w:val="20"/>
              </w:rPr>
              <w:t xml:space="preserve">Công bố thông tin từ </w:t>
            </w:r>
            <w:proofErr w:type="spellStart"/>
            <w:r w:rsidRPr="00862ECE">
              <w:rPr>
                <w:sz w:val="20"/>
                <w:szCs w:val="20"/>
              </w:rPr>
              <w:t>ngày</w:t>
            </w:r>
            <w:proofErr w:type="spellEnd"/>
            <w:r w:rsidRPr="00862ECE">
              <w:rPr>
                <w:sz w:val="20"/>
                <w:szCs w:val="20"/>
              </w:rPr>
              <w:t xml:space="preserve"> </w:t>
            </w:r>
            <w:r w:rsidR="00FE0DD2">
              <w:rPr>
                <w:sz w:val="20"/>
                <w:szCs w:val="20"/>
              </w:rPr>
              <w:t>28/11/2016</w:t>
            </w:r>
            <w:r w:rsidRPr="00862ECE">
              <w:rPr>
                <w:sz w:val="20"/>
                <w:szCs w:val="20"/>
              </w:rPr>
              <w:t xml:space="preserve"> </w:t>
            </w:r>
            <w:proofErr w:type="spellStart"/>
            <w:r w:rsidRPr="007326E8">
              <w:rPr>
                <w:sz w:val="20"/>
                <w:szCs w:val="20"/>
              </w:rPr>
              <w:t>trên</w:t>
            </w:r>
            <w:proofErr w:type="spellEnd"/>
            <w:r w:rsidRPr="007326E8">
              <w:rPr>
                <w:sz w:val="20"/>
                <w:szCs w:val="20"/>
              </w:rPr>
              <w:t xml:space="preserve"> </w:t>
            </w:r>
            <w:proofErr w:type="spellStart"/>
            <w:r w:rsidR="003B46FD">
              <w:rPr>
                <w:sz w:val="20"/>
                <w:szCs w:val="20"/>
              </w:rPr>
              <w:t>Báo</w:t>
            </w:r>
            <w:proofErr w:type="spellEnd"/>
            <w:r w:rsidR="003B46FD">
              <w:rPr>
                <w:sz w:val="20"/>
                <w:szCs w:val="20"/>
              </w:rPr>
              <w:t xml:space="preserve"> </w:t>
            </w:r>
            <w:proofErr w:type="spellStart"/>
            <w:r w:rsidR="003B46FD">
              <w:rPr>
                <w:sz w:val="20"/>
                <w:szCs w:val="20"/>
              </w:rPr>
              <w:t>Đầu</w:t>
            </w:r>
            <w:proofErr w:type="spellEnd"/>
            <w:r w:rsidR="003B46FD">
              <w:rPr>
                <w:sz w:val="20"/>
                <w:szCs w:val="20"/>
              </w:rPr>
              <w:t xml:space="preserve"> </w:t>
            </w:r>
            <w:proofErr w:type="spellStart"/>
            <w:r w:rsidR="003B46FD">
              <w:rPr>
                <w:sz w:val="20"/>
                <w:szCs w:val="20"/>
              </w:rPr>
              <w:t>tư</w:t>
            </w:r>
            <w:proofErr w:type="spellEnd"/>
            <w:r w:rsidR="003B46FD">
              <w:rPr>
                <w:sz w:val="20"/>
                <w:szCs w:val="20"/>
              </w:rPr>
              <w:t xml:space="preserve"> </w:t>
            </w:r>
            <w:proofErr w:type="spellStart"/>
            <w:r w:rsidR="003B46FD">
              <w:rPr>
                <w:sz w:val="20"/>
                <w:szCs w:val="20"/>
              </w:rPr>
              <w:t>Chứng</w:t>
            </w:r>
            <w:proofErr w:type="spellEnd"/>
            <w:r w:rsidR="003B46FD">
              <w:rPr>
                <w:sz w:val="20"/>
                <w:szCs w:val="20"/>
              </w:rPr>
              <w:t xml:space="preserve"> </w:t>
            </w:r>
            <w:proofErr w:type="spellStart"/>
            <w:r w:rsidR="003B46FD">
              <w:rPr>
                <w:sz w:val="20"/>
                <w:szCs w:val="20"/>
              </w:rPr>
              <w:t>khoán</w:t>
            </w:r>
            <w:proofErr w:type="spellEnd"/>
            <w:r w:rsidR="002242DA" w:rsidRPr="00C368D6">
              <w:rPr>
                <w:sz w:val="20"/>
                <w:szCs w:val="20"/>
              </w:rPr>
              <w:t>,</w:t>
            </w:r>
            <w:r w:rsidR="002242DA" w:rsidRPr="007326E8">
              <w:rPr>
                <w:sz w:val="20"/>
                <w:szCs w:val="20"/>
              </w:rPr>
              <w:t xml:space="preserve"> </w:t>
            </w:r>
            <w:proofErr w:type="spellStart"/>
            <w:r w:rsidR="002242DA" w:rsidRPr="007326E8">
              <w:rPr>
                <w:sz w:val="20"/>
                <w:szCs w:val="20"/>
              </w:rPr>
              <w:t>Báo</w:t>
            </w:r>
            <w:proofErr w:type="spellEnd"/>
            <w:r w:rsidR="002242DA" w:rsidRPr="007326E8">
              <w:rPr>
                <w:sz w:val="20"/>
                <w:szCs w:val="20"/>
              </w:rPr>
              <w:t xml:space="preserve"> </w:t>
            </w:r>
            <w:proofErr w:type="spellStart"/>
            <w:r w:rsidR="007326E8">
              <w:rPr>
                <w:sz w:val="20"/>
                <w:szCs w:val="20"/>
              </w:rPr>
              <w:t>Sài</w:t>
            </w:r>
            <w:proofErr w:type="spellEnd"/>
            <w:r w:rsidR="007326E8">
              <w:rPr>
                <w:sz w:val="20"/>
                <w:szCs w:val="20"/>
              </w:rPr>
              <w:t xml:space="preserve"> </w:t>
            </w:r>
            <w:proofErr w:type="spellStart"/>
            <w:r w:rsidR="007326E8">
              <w:rPr>
                <w:sz w:val="20"/>
                <w:szCs w:val="20"/>
              </w:rPr>
              <w:t>Gòn</w:t>
            </w:r>
            <w:proofErr w:type="spellEnd"/>
            <w:r w:rsidR="007326E8">
              <w:rPr>
                <w:sz w:val="20"/>
                <w:szCs w:val="20"/>
              </w:rPr>
              <w:t xml:space="preserve"> Giải Phóng</w:t>
            </w:r>
            <w:r w:rsidR="00960AF6">
              <w:rPr>
                <w:sz w:val="20"/>
                <w:szCs w:val="20"/>
              </w:rPr>
              <w:t xml:space="preserve">, </w:t>
            </w:r>
            <w:r w:rsidR="006478FE">
              <w:rPr>
                <w:sz w:val="20"/>
                <w:szCs w:val="20"/>
              </w:rPr>
              <w:t xml:space="preserve">các </w:t>
            </w:r>
            <w:r w:rsidR="00960AF6" w:rsidRPr="006478FE">
              <w:rPr>
                <w:sz w:val="20"/>
                <w:szCs w:val="20"/>
              </w:rPr>
              <w:t>trang Bloomberg</w:t>
            </w:r>
            <w:r w:rsidR="002F5A3E">
              <w:rPr>
                <w:sz w:val="20"/>
                <w:szCs w:val="20"/>
              </w:rPr>
              <w:t>, Wall Street</w:t>
            </w:r>
            <w:r w:rsidR="006478FE">
              <w:rPr>
                <w:sz w:val="20"/>
                <w:szCs w:val="20"/>
              </w:rPr>
              <w:t xml:space="preserve"> Journal, Reuters </w:t>
            </w:r>
            <w:r w:rsidRPr="008D54BC">
              <w:rPr>
                <w:sz w:val="20"/>
                <w:szCs w:val="20"/>
              </w:rPr>
              <w:t>và</w:t>
            </w:r>
            <w:r w:rsidRPr="00862ECE">
              <w:rPr>
                <w:sz w:val="20"/>
                <w:szCs w:val="20"/>
              </w:rPr>
              <w:t xml:space="preserve"> </w:t>
            </w:r>
            <w:r w:rsidR="007326E8">
              <w:rPr>
                <w:sz w:val="20"/>
                <w:szCs w:val="20"/>
              </w:rPr>
              <w:t>các w</w:t>
            </w:r>
            <w:r w:rsidRPr="00862ECE">
              <w:rPr>
                <w:sz w:val="20"/>
                <w:szCs w:val="20"/>
              </w:rPr>
              <w:t>ebsite của SCIC, SSI</w:t>
            </w:r>
            <w:r w:rsidR="00BF2363">
              <w:rPr>
                <w:sz w:val="20"/>
                <w:szCs w:val="20"/>
              </w:rPr>
              <w:t>,</w:t>
            </w:r>
            <w:r w:rsidRPr="00862ECE">
              <w:rPr>
                <w:sz w:val="20"/>
                <w:szCs w:val="20"/>
              </w:rPr>
              <w:t xml:space="preserve"> HOSE</w:t>
            </w:r>
            <w:r w:rsidR="0005389B">
              <w:rPr>
                <w:sz w:val="20"/>
                <w:szCs w:val="20"/>
              </w:rPr>
              <w:t>,</w:t>
            </w:r>
            <w:r w:rsidR="00BF2363">
              <w:rPr>
                <w:sz w:val="20"/>
                <w:szCs w:val="20"/>
              </w:rPr>
              <w:t xml:space="preserve"> Vinamilk</w:t>
            </w:r>
            <w:r w:rsidR="0005389B">
              <w:rPr>
                <w:sz w:val="20"/>
                <w:szCs w:val="20"/>
              </w:rPr>
              <w:t xml:space="preserve"> và các đại lý chào bán cạnh tranh.</w:t>
            </w:r>
          </w:p>
          <w:p w:rsidR="00BF2363" w:rsidRPr="00BF2363" w:rsidRDefault="00AE3541" w:rsidP="002F5A3E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sz w:val="20"/>
                <w:szCs w:val="20"/>
              </w:rPr>
              <w:t xml:space="preserve">Nhà đầu tư tham gia chào bán cạnh tranh cổ phần có thể </w:t>
            </w:r>
            <w:r w:rsidR="007D09CE">
              <w:rPr>
                <w:sz w:val="20"/>
                <w:szCs w:val="20"/>
              </w:rPr>
              <w:t>tham khảo</w:t>
            </w:r>
            <w:r w:rsidRPr="00862ECE">
              <w:rPr>
                <w:sz w:val="20"/>
                <w:szCs w:val="20"/>
              </w:rPr>
              <w:t xml:space="preserve"> Bản công bố thông tin, Quy chế </w:t>
            </w:r>
            <w:r w:rsidR="00FE0DD2">
              <w:rPr>
                <w:sz w:val="20"/>
                <w:szCs w:val="20"/>
              </w:rPr>
              <w:t>và các tài liệu liên quan khác</w:t>
            </w:r>
            <w:r w:rsidRPr="00862ECE">
              <w:rPr>
                <w:sz w:val="20"/>
                <w:szCs w:val="20"/>
              </w:rPr>
              <w:t xml:space="preserve"> trên website: </w:t>
            </w:r>
            <w:hyperlink r:id="rId8" w:tgtFrame="_blank" w:history="1">
              <w:r w:rsidRPr="00862ECE">
                <w:rPr>
                  <w:rStyle w:val="Hyperlink"/>
                  <w:sz w:val="20"/>
                  <w:szCs w:val="20"/>
                </w:rPr>
                <w:t>www.scic.vn</w:t>
              </w:r>
            </w:hyperlink>
            <w:r w:rsidRPr="00862ECE">
              <w:rPr>
                <w:rStyle w:val="Hyperlink"/>
                <w:sz w:val="20"/>
                <w:szCs w:val="20"/>
              </w:rPr>
              <w:t xml:space="preserve">, </w:t>
            </w:r>
            <w:hyperlink r:id="rId9" w:history="1">
              <w:r w:rsidRPr="00862ECE">
                <w:rPr>
                  <w:rStyle w:val="Hyperlink"/>
                  <w:sz w:val="20"/>
                  <w:szCs w:val="20"/>
                </w:rPr>
                <w:t>www.ssi.com.vn</w:t>
              </w:r>
            </w:hyperlink>
            <w:r w:rsidRPr="00862ECE">
              <w:rPr>
                <w:sz w:val="20"/>
                <w:szCs w:val="20"/>
              </w:rPr>
              <w:t xml:space="preserve">, </w:t>
            </w:r>
            <w:hyperlink r:id="rId10" w:history="1">
              <w:r w:rsidRPr="00862ECE">
                <w:rPr>
                  <w:rStyle w:val="Hyperlink"/>
                  <w:sz w:val="20"/>
                  <w:szCs w:val="20"/>
                </w:rPr>
                <w:t>www.hsx.vn</w:t>
              </w:r>
            </w:hyperlink>
            <w:r w:rsidR="00BF2363">
              <w:rPr>
                <w:rStyle w:val="Hyperlink"/>
                <w:sz w:val="20"/>
                <w:szCs w:val="20"/>
              </w:rPr>
              <w:t>,</w:t>
            </w:r>
            <w:r w:rsidR="00BF2363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hyperlink r:id="rId11" w:history="1">
              <w:r w:rsidR="00C553AB" w:rsidRPr="004D5497">
                <w:rPr>
                  <w:rStyle w:val="Hyperlink"/>
                  <w:sz w:val="20"/>
                  <w:szCs w:val="20"/>
                </w:rPr>
                <w:t>www.vinamilk.com.vn</w:t>
              </w:r>
            </w:hyperlink>
            <w:r w:rsidR="00C553AB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C553AB" w:rsidRPr="00C553AB">
              <w:rPr>
                <w:sz w:val="20"/>
                <w:szCs w:val="20"/>
              </w:rPr>
              <w:t>và các đại lý chào bán.</w:t>
            </w:r>
          </w:p>
          <w:p w:rsidR="00AE3541" w:rsidRPr="003F666D" w:rsidRDefault="00AE3541" w:rsidP="002F5A3E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35962">
              <w:rPr>
                <w:b/>
                <w:bCs/>
                <w:sz w:val="20"/>
                <w:szCs w:val="20"/>
              </w:rPr>
              <w:t>Thời</w:t>
            </w:r>
            <w:r w:rsidRPr="00FE0DD2">
              <w:rPr>
                <w:b/>
                <w:spacing w:val="-2"/>
                <w:sz w:val="20"/>
                <w:szCs w:val="20"/>
              </w:rPr>
              <w:t xml:space="preserve"> gian</w:t>
            </w:r>
            <w:r w:rsidR="00173A5F">
              <w:rPr>
                <w:b/>
                <w:spacing w:val="-2"/>
                <w:sz w:val="20"/>
                <w:szCs w:val="20"/>
              </w:rPr>
              <w:t>, địa điểm</w:t>
            </w:r>
            <w:r w:rsidRPr="00FE0DD2">
              <w:rPr>
                <w:b/>
                <w:spacing w:val="-2"/>
                <w:sz w:val="20"/>
                <w:szCs w:val="20"/>
              </w:rPr>
              <w:t xml:space="preserve"> phát đơn,</w:t>
            </w:r>
            <w:r w:rsidR="00FE0DD2" w:rsidRPr="00FE0DD2">
              <w:rPr>
                <w:b/>
                <w:spacing w:val="-2"/>
                <w:sz w:val="20"/>
                <w:szCs w:val="20"/>
              </w:rPr>
              <w:t xml:space="preserve"> làm thủ tục</w:t>
            </w:r>
            <w:r w:rsidR="00835962">
              <w:rPr>
                <w:b/>
                <w:spacing w:val="-2"/>
                <w:sz w:val="20"/>
                <w:szCs w:val="20"/>
              </w:rPr>
              <w:t xml:space="preserve"> và nộp hồ sơ</w:t>
            </w:r>
            <w:r w:rsidRPr="00FE0DD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E0DD2">
              <w:rPr>
                <w:b/>
                <w:spacing w:val="-2"/>
                <w:sz w:val="20"/>
                <w:szCs w:val="20"/>
              </w:rPr>
              <w:t>đăng</w:t>
            </w:r>
            <w:proofErr w:type="spellEnd"/>
            <w:r w:rsidRPr="00FE0DD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E0DD2">
              <w:rPr>
                <w:b/>
                <w:spacing w:val="-2"/>
                <w:sz w:val="20"/>
                <w:szCs w:val="20"/>
              </w:rPr>
              <w:t>ký</w:t>
            </w:r>
            <w:proofErr w:type="spellEnd"/>
            <w:r w:rsidR="00835962">
              <w:rPr>
                <w:b/>
                <w:spacing w:val="-2"/>
                <w:sz w:val="20"/>
                <w:szCs w:val="20"/>
              </w:rPr>
              <w:t xml:space="preserve">: </w:t>
            </w:r>
            <w:proofErr w:type="spellStart"/>
            <w:r w:rsidR="00835962">
              <w:rPr>
                <w:b/>
                <w:spacing w:val="-2"/>
                <w:sz w:val="20"/>
                <w:szCs w:val="20"/>
              </w:rPr>
              <w:t>t</w:t>
            </w:r>
            <w:r w:rsidRPr="00FE0DD2">
              <w:rPr>
                <w:b/>
                <w:bCs/>
                <w:spacing w:val="-2"/>
                <w:sz w:val="20"/>
                <w:szCs w:val="20"/>
              </w:rPr>
              <w:t>ừ</w:t>
            </w:r>
            <w:proofErr w:type="spellEnd"/>
            <w:r w:rsidRPr="00FE0DD2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E0DD2">
              <w:rPr>
                <w:b/>
                <w:bCs/>
                <w:spacing w:val="-2"/>
                <w:sz w:val="20"/>
                <w:szCs w:val="20"/>
              </w:rPr>
              <w:t>ngày</w:t>
            </w:r>
            <w:proofErr w:type="spellEnd"/>
            <w:r w:rsidRPr="00FE0DD2">
              <w:rPr>
                <w:b/>
                <w:bCs/>
                <w:spacing w:val="-2"/>
                <w:sz w:val="20"/>
                <w:szCs w:val="20"/>
              </w:rPr>
              <w:t xml:space="preserve"> 2</w:t>
            </w:r>
            <w:r w:rsidR="00FE0DD2" w:rsidRPr="00FE0DD2">
              <w:rPr>
                <w:b/>
                <w:bCs/>
                <w:spacing w:val="-2"/>
                <w:sz w:val="20"/>
                <w:szCs w:val="20"/>
              </w:rPr>
              <w:t xml:space="preserve">8/11/2016 </w:t>
            </w:r>
            <w:proofErr w:type="spellStart"/>
            <w:r w:rsidR="00FE0DD2" w:rsidRPr="00FE0DD2">
              <w:rPr>
                <w:b/>
                <w:bCs/>
                <w:spacing w:val="-2"/>
                <w:sz w:val="20"/>
                <w:szCs w:val="20"/>
              </w:rPr>
              <w:t>đến</w:t>
            </w:r>
            <w:proofErr w:type="spellEnd"/>
            <w:r w:rsidR="00FE0DD2" w:rsidRPr="00FE0DD2">
              <w:rPr>
                <w:b/>
                <w:bCs/>
                <w:spacing w:val="-2"/>
                <w:sz w:val="20"/>
                <w:szCs w:val="20"/>
              </w:rPr>
              <w:t xml:space="preserve"> 16</w:t>
            </w:r>
            <w:r w:rsidRPr="00FE0DD2">
              <w:rPr>
                <w:b/>
                <w:bCs/>
                <w:spacing w:val="-2"/>
                <w:sz w:val="20"/>
                <w:szCs w:val="20"/>
              </w:rPr>
              <w:t xml:space="preserve">h00 ngày </w:t>
            </w:r>
            <w:r w:rsidR="00FE0DD2" w:rsidRPr="00FE0DD2">
              <w:rPr>
                <w:b/>
                <w:bCs/>
                <w:spacing w:val="-2"/>
                <w:sz w:val="20"/>
                <w:szCs w:val="20"/>
              </w:rPr>
              <w:t>9</w:t>
            </w:r>
            <w:r w:rsidRPr="00FE0DD2">
              <w:rPr>
                <w:b/>
                <w:bCs/>
                <w:spacing w:val="-2"/>
                <w:sz w:val="20"/>
                <w:szCs w:val="20"/>
              </w:rPr>
              <w:t>/12/2016</w:t>
            </w:r>
            <w:r w:rsidRPr="00FE0DD2">
              <w:rPr>
                <w:spacing w:val="-2"/>
                <w:sz w:val="20"/>
                <w:szCs w:val="20"/>
              </w:rPr>
              <w:t xml:space="preserve"> tại</w:t>
            </w:r>
            <w:r w:rsidR="003F666D" w:rsidRPr="00FE0DD2">
              <w:rPr>
                <w:spacing w:val="-2"/>
                <w:sz w:val="20"/>
                <w:szCs w:val="20"/>
              </w:rPr>
              <w:t xml:space="preserve"> các Đại lý chào bán cạnh tranh (danh sách và địa chỉ đại lý được </w:t>
            </w:r>
            <w:r w:rsidR="00FE0DD2" w:rsidRPr="00FE0DD2">
              <w:rPr>
                <w:spacing w:val="-2"/>
                <w:sz w:val="20"/>
                <w:szCs w:val="20"/>
              </w:rPr>
              <w:t>công bố trên w</w:t>
            </w:r>
            <w:r w:rsidR="003F666D" w:rsidRPr="00FE0DD2">
              <w:rPr>
                <w:spacing w:val="-2"/>
                <w:sz w:val="20"/>
                <w:szCs w:val="20"/>
              </w:rPr>
              <w:t>ebsite của SCIC, SSI, HOSE và Vinamilk)</w:t>
            </w:r>
          </w:p>
          <w:p w:rsidR="00AE3541" w:rsidRPr="00641821" w:rsidRDefault="00AE3541" w:rsidP="002F5A3E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sz w:val="20"/>
                <w:szCs w:val="20"/>
              </w:rPr>
              <w:t xml:space="preserve">Thời gian nộp tiền đặt </w:t>
            </w:r>
            <w:proofErr w:type="spellStart"/>
            <w:r w:rsidRPr="00862ECE">
              <w:rPr>
                <w:sz w:val="20"/>
                <w:szCs w:val="20"/>
              </w:rPr>
              <w:t>cọc</w:t>
            </w:r>
            <w:proofErr w:type="spellEnd"/>
            <w:r w:rsidR="00173A5F">
              <w:rPr>
                <w:sz w:val="20"/>
                <w:szCs w:val="20"/>
              </w:rPr>
              <w:t>/</w:t>
            </w:r>
            <w:proofErr w:type="spellStart"/>
            <w:r w:rsidR="00173A5F">
              <w:rPr>
                <w:sz w:val="20"/>
                <w:szCs w:val="20"/>
              </w:rPr>
              <w:t>ký</w:t>
            </w:r>
            <w:proofErr w:type="spellEnd"/>
            <w:r w:rsidR="00173A5F">
              <w:rPr>
                <w:sz w:val="20"/>
                <w:szCs w:val="20"/>
              </w:rPr>
              <w:t xml:space="preserve"> </w:t>
            </w:r>
            <w:proofErr w:type="spellStart"/>
            <w:r w:rsidR="00173A5F">
              <w:rPr>
                <w:sz w:val="20"/>
                <w:szCs w:val="20"/>
              </w:rPr>
              <w:t>quỹ</w:t>
            </w:r>
            <w:proofErr w:type="spellEnd"/>
            <w:r w:rsidRPr="00862ECE">
              <w:rPr>
                <w:sz w:val="20"/>
                <w:szCs w:val="20"/>
              </w:rPr>
              <w:t xml:space="preserve">: </w:t>
            </w:r>
            <w:r w:rsidRPr="00862EC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ECE">
              <w:rPr>
                <w:b/>
                <w:bCs/>
                <w:sz w:val="20"/>
                <w:szCs w:val="20"/>
              </w:rPr>
              <w:t>Từ</w:t>
            </w:r>
            <w:proofErr w:type="spellEnd"/>
            <w:r w:rsidRPr="00862EC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ECE">
              <w:rPr>
                <w:b/>
                <w:bCs/>
                <w:sz w:val="20"/>
                <w:szCs w:val="20"/>
              </w:rPr>
              <w:t>ngày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  <w:r w:rsidR="00FE0DD2">
              <w:rPr>
                <w:b/>
                <w:bCs/>
                <w:sz w:val="20"/>
                <w:szCs w:val="20"/>
              </w:rPr>
              <w:t>8</w:t>
            </w:r>
            <w:r w:rsidRPr="00862ECE">
              <w:rPr>
                <w:b/>
                <w:bCs/>
                <w:sz w:val="20"/>
                <w:szCs w:val="20"/>
              </w:rPr>
              <w:t>/1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62ECE">
              <w:rPr>
                <w:b/>
                <w:bCs/>
                <w:sz w:val="20"/>
                <w:szCs w:val="20"/>
              </w:rPr>
              <w:t xml:space="preserve">/2016 </w:t>
            </w:r>
            <w:proofErr w:type="spellStart"/>
            <w:r w:rsidRPr="00862ECE">
              <w:rPr>
                <w:b/>
                <w:bCs/>
                <w:sz w:val="20"/>
                <w:szCs w:val="20"/>
              </w:rPr>
              <w:t>đến</w:t>
            </w:r>
            <w:proofErr w:type="spellEnd"/>
            <w:r w:rsidRPr="00862ECE">
              <w:rPr>
                <w:b/>
                <w:bCs/>
                <w:sz w:val="20"/>
                <w:szCs w:val="20"/>
              </w:rPr>
              <w:t xml:space="preserve"> 1</w:t>
            </w:r>
            <w:r w:rsidR="00FE0DD2">
              <w:rPr>
                <w:b/>
                <w:bCs/>
                <w:sz w:val="20"/>
                <w:szCs w:val="20"/>
              </w:rPr>
              <w:t>6</w:t>
            </w:r>
            <w:r w:rsidRPr="00862ECE">
              <w:rPr>
                <w:b/>
                <w:bCs/>
                <w:sz w:val="20"/>
                <w:szCs w:val="20"/>
              </w:rPr>
              <w:t>h00 ngày</w:t>
            </w:r>
            <w:r w:rsidR="00FE0DD2">
              <w:rPr>
                <w:b/>
                <w:bCs/>
                <w:sz w:val="20"/>
                <w:szCs w:val="20"/>
              </w:rPr>
              <w:t xml:space="preserve"> 9</w:t>
            </w:r>
            <w:r w:rsidRPr="00862ECE">
              <w:rPr>
                <w:b/>
                <w:bCs/>
                <w:sz w:val="20"/>
                <w:szCs w:val="20"/>
              </w:rPr>
              <w:t>/12/2016</w:t>
            </w:r>
            <w:r w:rsidR="00641821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641821">
              <w:rPr>
                <w:bCs/>
                <w:sz w:val="20"/>
                <w:szCs w:val="20"/>
              </w:rPr>
              <w:t>theo</w:t>
            </w:r>
            <w:proofErr w:type="gramEnd"/>
            <w:r w:rsidR="00641821">
              <w:rPr>
                <w:bCs/>
                <w:sz w:val="20"/>
                <w:szCs w:val="20"/>
              </w:rPr>
              <w:t xml:space="preserve"> quy định tại Quy chế</w:t>
            </w:r>
            <w:r w:rsidR="00DD2AFE">
              <w:rPr>
                <w:bCs/>
                <w:sz w:val="20"/>
                <w:szCs w:val="20"/>
              </w:rPr>
              <w:t>).</w:t>
            </w:r>
          </w:p>
          <w:p w:rsidR="00641821" w:rsidRPr="00BF2363" w:rsidRDefault="00641821" w:rsidP="002F5A3E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Nhà đầu tư nhận Đơn đăng ký tại các Đại lý chào bán cạnh tranh hoặc download từ các website công bố thông tin nêu trên.</w:t>
            </w:r>
          </w:p>
          <w:p w:rsidR="00BF2363" w:rsidRPr="00862ECE" w:rsidRDefault="00BF2363" w:rsidP="002F5A3E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Nhà đầu tư nhận </w:t>
            </w:r>
            <w:r w:rsidR="00641821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hiếu tham </w:t>
            </w:r>
            <w:r w:rsidR="00FE0DD2">
              <w:rPr>
                <w:bCs/>
                <w:sz w:val="20"/>
                <w:szCs w:val="20"/>
              </w:rPr>
              <w:t>gia</w:t>
            </w:r>
            <w:r>
              <w:rPr>
                <w:bCs/>
                <w:sz w:val="20"/>
                <w:szCs w:val="20"/>
              </w:rPr>
              <w:t xml:space="preserve"> chào bán tại các Đại lý chào bán cạnh tranh</w:t>
            </w:r>
            <w:r w:rsidR="002242D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(theo quy định tại Quy chế).</w:t>
            </w:r>
          </w:p>
          <w:p w:rsidR="00AE3541" w:rsidRPr="00835962" w:rsidRDefault="007D09CE" w:rsidP="002F5A3E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gian, địa điểm</w:t>
            </w:r>
            <w:r w:rsidR="00AE3541" w:rsidRPr="00835962">
              <w:rPr>
                <w:b/>
                <w:sz w:val="20"/>
                <w:szCs w:val="20"/>
              </w:rPr>
              <w:t xml:space="preserve"> nộp phiếu tham gia chào bán cạnh tranh: </w:t>
            </w:r>
          </w:p>
          <w:p w:rsidR="00AE3541" w:rsidRPr="00862ECE" w:rsidRDefault="00AE3541" w:rsidP="002F5A3E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sz w:val="20"/>
                <w:szCs w:val="20"/>
                <w:lang w:val="nl-NL"/>
              </w:rPr>
              <w:t xml:space="preserve">Tại Sở </w:t>
            </w:r>
            <w:r w:rsidRPr="00835962">
              <w:rPr>
                <w:sz w:val="20"/>
                <w:szCs w:val="20"/>
              </w:rPr>
              <w:t>Giao</w:t>
            </w:r>
            <w:r w:rsidRPr="00862ECE">
              <w:rPr>
                <w:sz w:val="20"/>
                <w:szCs w:val="20"/>
                <w:lang w:val="nl-NL"/>
              </w:rPr>
              <w:t xml:space="preserve"> dịch chứng khoán Thành phố Hồ Chí Minh - 16 Võ Văn Kiệt, Quận 1, Tp.Hồ Chí Minh </w:t>
            </w:r>
          </w:p>
          <w:p w:rsidR="00AE3541" w:rsidRPr="00862ECE" w:rsidRDefault="00AE3541" w:rsidP="002F5A3E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sz w:val="20"/>
                <w:szCs w:val="20"/>
              </w:rPr>
              <w:t xml:space="preserve">Thời gian: </w:t>
            </w:r>
            <w:r w:rsidRPr="00862ECE">
              <w:rPr>
                <w:b/>
                <w:bCs/>
                <w:sz w:val="20"/>
                <w:szCs w:val="20"/>
              </w:rPr>
              <w:t>Từ 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862ECE">
              <w:rPr>
                <w:b/>
                <w:bCs/>
                <w:sz w:val="20"/>
                <w:szCs w:val="20"/>
              </w:rPr>
              <w:t>h00 ngày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35962">
              <w:rPr>
                <w:b/>
                <w:bCs/>
                <w:sz w:val="20"/>
                <w:szCs w:val="20"/>
              </w:rPr>
              <w:t>12</w:t>
            </w:r>
            <w:r w:rsidRPr="00862ECE">
              <w:rPr>
                <w:b/>
                <w:bCs/>
                <w:sz w:val="20"/>
                <w:szCs w:val="20"/>
              </w:rPr>
              <w:t>/12/2016 đến 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62ECE">
              <w:rPr>
                <w:b/>
                <w:bCs/>
                <w:sz w:val="20"/>
                <w:szCs w:val="20"/>
              </w:rPr>
              <w:t xml:space="preserve">h00 ngày </w:t>
            </w:r>
            <w:r w:rsidR="00835962">
              <w:rPr>
                <w:b/>
                <w:bCs/>
                <w:sz w:val="20"/>
                <w:szCs w:val="20"/>
              </w:rPr>
              <w:t>12</w:t>
            </w:r>
            <w:r w:rsidRPr="00862ECE">
              <w:rPr>
                <w:b/>
                <w:bCs/>
                <w:sz w:val="20"/>
                <w:szCs w:val="20"/>
              </w:rPr>
              <w:t>/12/2016</w:t>
            </w:r>
          </w:p>
          <w:p w:rsidR="00AE3541" w:rsidRPr="00862ECE" w:rsidRDefault="00AE3541" w:rsidP="002F5A3E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b/>
                <w:bCs/>
                <w:sz w:val="20"/>
                <w:szCs w:val="20"/>
              </w:rPr>
              <w:t xml:space="preserve">Thời gian, địa điểm tổ chức chào bán: </w:t>
            </w:r>
          </w:p>
          <w:p w:rsidR="00AE3541" w:rsidRPr="00862ECE" w:rsidRDefault="00AE3541" w:rsidP="002F5A3E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sz w:val="20"/>
                <w:szCs w:val="20"/>
                <w:lang w:val="nl-NL"/>
              </w:rPr>
              <w:t xml:space="preserve">Tại Sở Giao dịch chứng khoán Thành phố Hồ Chí Minh - 16 Võ Văn Kiệt, Quận 1, Tp.Hồ Chí Minh </w:t>
            </w:r>
          </w:p>
          <w:p w:rsidR="00AE3541" w:rsidRPr="00862ECE" w:rsidRDefault="00AE3541" w:rsidP="002F5A3E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 w:rsidRPr="00862ECE">
              <w:rPr>
                <w:sz w:val="20"/>
                <w:szCs w:val="20"/>
              </w:rPr>
              <w:t xml:space="preserve">Thời gian: </w:t>
            </w:r>
            <w:r w:rsidRPr="0019173D">
              <w:rPr>
                <w:b/>
                <w:bCs/>
                <w:sz w:val="20"/>
                <w:szCs w:val="20"/>
              </w:rPr>
              <w:t>14</w:t>
            </w:r>
            <w:r w:rsidRPr="00862ECE">
              <w:rPr>
                <w:b/>
                <w:bCs/>
                <w:sz w:val="20"/>
                <w:szCs w:val="20"/>
              </w:rPr>
              <w:t>h30 ngày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35962">
              <w:rPr>
                <w:b/>
                <w:bCs/>
                <w:sz w:val="20"/>
                <w:szCs w:val="20"/>
              </w:rPr>
              <w:t>12</w:t>
            </w:r>
            <w:r w:rsidRPr="00862ECE">
              <w:rPr>
                <w:b/>
                <w:bCs/>
                <w:sz w:val="20"/>
                <w:szCs w:val="20"/>
              </w:rPr>
              <w:t xml:space="preserve">/12/2016 </w:t>
            </w:r>
          </w:p>
          <w:p w:rsidR="00AE3541" w:rsidRPr="00AE3541" w:rsidRDefault="00AE3541" w:rsidP="002F5A3E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b/>
                <w:sz w:val="20"/>
                <w:szCs w:val="20"/>
              </w:rPr>
            </w:pPr>
            <w:r w:rsidRPr="00BF2363">
              <w:rPr>
                <w:b/>
                <w:bCs/>
                <w:sz w:val="20"/>
                <w:szCs w:val="20"/>
              </w:rPr>
              <w:t>Thời gian nộp tiền/thực hiện giao dịch mua cổ phần:</w:t>
            </w:r>
            <w:r w:rsidRPr="00BF2363">
              <w:rPr>
                <w:sz w:val="20"/>
                <w:szCs w:val="20"/>
              </w:rPr>
              <w:t xml:space="preserve"> Từ ngày</w:t>
            </w:r>
            <w:r w:rsidRPr="00BF2363">
              <w:rPr>
                <w:b/>
                <w:sz w:val="20"/>
                <w:szCs w:val="20"/>
              </w:rPr>
              <w:t xml:space="preserve"> </w:t>
            </w:r>
            <w:r w:rsidR="00835962">
              <w:rPr>
                <w:b/>
                <w:sz w:val="20"/>
                <w:szCs w:val="20"/>
              </w:rPr>
              <w:t>12</w:t>
            </w:r>
            <w:r w:rsidRPr="00BF2363">
              <w:rPr>
                <w:b/>
                <w:sz w:val="20"/>
                <w:szCs w:val="20"/>
              </w:rPr>
              <w:t xml:space="preserve">/12/2016 đến ngày </w:t>
            </w:r>
            <w:r w:rsidR="00835962">
              <w:rPr>
                <w:b/>
                <w:sz w:val="20"/>
                <w:szCs w:val="20"/>
              </w:rPr>
              <w:t>21</w:t>
            </w:r>
            <w:r w:rsidRPr="00BF2363">
              <w:rPr>
                <w:b/>
                <w:sz w:val="20"/>
                <w:szCs w:val="20"/>
              </w:rPr>
              <w:t xml:space="preserve">/12/2016 </w:t>
            </w:r>
          </w:p>
          <w:p w:rsidR="00AE3541" w:rsidRPr="00BF2363" w:rsidRDefault="00AE3541" w:rsidP="008F08FF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jc w:val="both"/>
              <w:rPr>
                <w:rFonts w:eastAsiaTheme="minorHAnsi"/>
                <w:b/>
                <w:bCs/>
                <w:sz w:val="20"/>
                <w:szCs w:val="20"/>
              </w:rPr>
            </w:pPr>
            <w:r w:rsidRPr="00BF2363">
              <w:rPr>
                <w:b/>
                <w:bCs/>
                <w:sz w:val="20"/>
                <w:szCs w:val="20"/>
              </w:rPr>
              <w:t xml:space="preserve">Thời gian hoàn trả tiền đặt cọc: </w:t>
            </w:r>
            <w:r w:rsidR="00AA77AE">
              <w:rPr>
                <w:sz w:val="20"/>
                <w:szCs w:val="20"/>
                <w:lang w:val="nl-NL"/>
              </w:rPr>
              <w:t>theo quy định tại Quy chế</w:t>
            </w:r>
            <w:r>
              <w:rPr>
                <w:sz w:val="20"/>
                <w:szCs w:val="20"/>
                <w:lang w:val="nl-NL"/>
              </w:rPr>
              <w:t>.</w:t>
            </w:r>
          </w:p>
        </w:tc>
      </w:tr>
    </w:tbl>
    <w:p w:rsidR="003F666D" w:rsidRDefault="003F666D"/>
    <w:p w:rsidR="003F666D" w:rsidRDefault="003F666D"/>
    <w:p w:rsidR="003F666D" w:rsidRDefault="003F666D">
      <w:bookmarkStart w:id="0" w:name="_GoBack"/>
      <w:bookmarkEnd w:id="0"/>
    </w:p>
    <w:sectPr w:rsidR="003F666D" w:rsidSect="00AE3541">
      <w:pgSz w:w="11909" w:h="16834" w:code="9"/>
      <w:pgMar w:top="1008" w:right="144" w:bottom="288" w:left="432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11F"/>
    <w:multiLevelType w:val="hybridMultilevel"/>
    <w:tmpl w:val="15EA2F04"/>
    <w:lvl w:ilvl="0" w:tplc="963E4A38">
      <w:numFmt w:val="bullet"/>
      <w:lvlText w:val="-"/>
      <w:lvlJc w:val="left"/>
      <w:pPr>
        <w:ind w:left="720" w:hanging="360"/>
      </w:pPr>
      <w:rPr>
        <w:rFonts w:ascii="VNI-Helve-Condense" w:eastAsia="Times New Roman" w:hAnsi="VNI-Helve-Condense" w:cs="Times New Roman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F361B"/>
    <w:multiLevelType w:val="hybridMultilevel"/>
    <w:tmpl w:val="ADC4A5D2"/>
    <w:lvl w:ilvl="0" w:tplc="963E4A38">
      <w:numFmt w:val="bullet"/>
      <w:lvlText w:val="-"/>
      <w:lvlJc w:val="left"/>
      <w:pPr>
        <w:ind w:left="720" w:hanging="360"/>
      </w:pPr>
      <w:rPr>
        <w:rFonts w:ascii="VNI-Helve-Condense" w:eastAsia="Times New Roman" w:hAnsi="VNI-Helve-Condense" w:cs="Times New Roman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17546"/>
    <w:multiLevelType w:val="hybridMultilevel"/>
    <w:tmpl w:val="95CC43FE"/>
    <w:lvl w:ilvl="0" w:tplc="19F8B90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A376B"/>
    <w:multiLevelType w:val="hybridMultilevel"/>
    <w:tmpl w:val="21BA62D8"/>
    <w:lvl w:ilvl="0" w:tplc="85DA7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B2C4C"/>
    <w:multiLevelType w:val="hybridMultilevel"/>
    <w:tmpl w:val="CA5486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45658"/>
    <w:multiLevelType w:val="hybridMultilevel"/>
    <w:tmpl w:val="82CC4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77356"/>
    <w:multiLevelType w:val="hybridMultilevel"/>
    <w:tmpl w:val="E19E1F0A"/>
    <w:lvl w:ilvl="0" w:tplc="0D96886C">
      <w:start w:val="1"/>
      <w:numFmt w:val="bullet"/>
      <w:lvlText w:val="-"/>
      <w:lvlJc w:val="left"/>
      <w:pPr>
        <w:ind w:left="720" w:hanging="360"/>
      </w:pPr>
      <w:rPr>
        <w:rFonts w:ascii="VNtimes new roman" w:hAnsi="VN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trackRevisions/>
  <w:defaultTabStop w:val="720"/>
  <w:characterSpacingControl w:val="doNotCompress"/>
  <w:compat/>
  <w:rsids>
    <w:rsidRoot w:val="00AE3541"/>
    <w:rsid w:val="00031445"/>
    <w:rsid w:val="0005389B"/>
    <w:rsid w:val="000F611C"/>
    <w:rsid w:val="001717F2"/>
    <w:rsid w:val="00173A5F"/>
    <w:rsid w:val="0020754A"/>
    <w:rsid w:val="002242DA"/>
    <w:rsid w:val="002F5A3E"/>
    <w:rsid w:val="003563BE"/>
    <w:rsid w:val="0036119D"/>
    <w:rsid w:val="003707DB"/>
    <w:rsid w:val="003B46FD"/>
    <w:rsid w:val="003F666D"/>
    <w:rsid w:val="004136E4"/>
    <w:rsid w:val="00455DDB"/>
    <w:rsid w:val="004E73D4"/>
    <w:rsid w:val="005B15A7"/>
    <w:rsid w:val="00641821"/>
    <w:rsid w:val="006478FE"/>
    <w:rsid w:val="006C3F48"/>
    <w:rsid w:val="007326E8"/>
    <w:rsid w:val="00740184"/>
    <w:rsid w:val="00753975"/>
    <w:rsid w:val="00760430"/>
    <w:rsid w:val="0079104D"/>
    <w:rsid w:val="007B3A40"/>
    <w:rsid w:val="007D09CE"/>
    <w:rsid w:val="00835962"/>
    <w:rsid w:val="00867D85"/>
    <w:rsid w:val="00873580"/>
    <w:rsid w:val="008F08FF"/>
    <w:rsid w:val="009160A9"/>
    <w:rsid w:val="00953E5D"/>
    <w:rsid w:val="00960AF6"/>
    <w:rsid w:val="009931C9"/>
    <w:rsid w:val="00A1565E"/>
    <w:rsid w:val="00A84FBC"/>
    <w:rsid w:val="00A954F0"/>
    <w:rsid w:val="00AA77AE"/>
    <w:rsid w:val="00AE3541"/>
    <w:rsid w:val="00B70E10"/>
    <w:rsid w:val="00B77559"/>
    <w:rsid w:val="00B84E9F"/>
    <w:rsid w:val="00BE52AC"/>
    <w:rsid w:val="00BF2363"/>
    <w:rsid w:val="00BF7325"/>
    <w:rsid w:val="00C368D6"/>
    <w:rsid w:val="00C553AB"/>
    <w:rsid w:val="00C658A5"/>
    <w:rsid w:val="00C65AD2"/>
    <w:rsid w:val="00C71C85"/>
    <w:rsid w:val="00D344FB"/>
    <w:rsid w:val="00D73F54"/>
    <w:rsid w:val="00DB061A"/>
    <w:rsid w:val="00DC339D"/>
    <w:rsid w:val="00DD2AFE"/>
    <w:rsid w:val="00E32237"/>
    <w:rsid w:val="00E73FA8"/>
    <w:rsid w:val="00EA2177"/>
    <w:rsid w:val="00ED163C"/>
    <w:rsid w:val="00F02088"/>
    <w:rsid w:val="00F10449"/>
    <w:rsid w:val="00FC204E"/>
    <w:rsid w:val="00FE0DD2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3541"/>
    <w:rPr>
      <w:color w:val="0000FF"/>
      <w:u w:val="single"/>
    </w:rPr>
  </w:style>
  <w:style w:type="paragraph" w:styleId="Caption">
    <w:name w:val="caption"/>
    <w:basedOn w:val="Normal"/>
    <w:uiPriority w:val="35"/>
    <w:qFormat/>
    <w:rsid w:val="00AE3541"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aliases w:val="Thang2,List Paragraph1"/>
    <w:basedOn w:val="Normal"/>
    <w:link w:val="ListParagraphChar"/>
    <w:uiPriority w:val="34"/>
    <w:qFormat/>
    <w:rsid w:val="00AE3541"/>
    <w:pPr>
      <w:ind w:left="720"/>
      <w:contextualSpacing/>
    </w:pPr>
  </w:style>
  <w:style w:type="table" w:styleId="TableGrid">
    <w:name w:val="Table Grid"/>
    <w:basedOn w:val="TableNormal"/>
    <w:uiPriority w:val="59"/>
    <w:rsid w:val="00AE3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hang2 Char,List Paragraph1 Char"/>
    <w:link w:val="ListParagraph"/>
    <w:uiPriority w:val="34"/>
    <w:locked/>
    <w:rsid w:val="00AE35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6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3541"/>
    <w:rPr>
      <w:color w:val="0000FF"/>
      <w:u w:val="single"/>
    </w:rPr>
  </w:style>
  <w:style w:type="paragraph" w:styleId="Caption">
    <w:name w:val="caption"/>
    <w:basedOn w:val="Normal"/>
    <w:uiPriority w:val="35"/>
    <w:qFormat/>
    <w:rsid w:val="00AE3541"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aliases w:val="Thang2,List Paragraph1"/>
    <w:basedOn w:val="Normal"/>
    <w:link w:val="ListParagraphChar"/>
    <w:uiPriority w:val="34"/>
    <w:qFormat/>
    <w:rsid w:val="00AE3541"/>
    <w:pPr>
      <w:ind w:left="720"/>
      <w:contextualSpacing/>
    </w:pPr>
  </w:style>
  <w:style w:type="table" w:styleId="TableGrid">
    <w:name w:val="Table Grid"/>
    <w:basedOn w:val="TableNormal"/>
    <w:uiPriority w:val="59"/>
    <w:rsid w:val="00AE3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hang2 Char,List Paragraph1 Char"/>
    <w:link w:val="ListParagraph"/>
    <w:uiPriority w:val="34"/>
    <w:locked/>
    <w:rsid w:val="00AE35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6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c.v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7.jpg@01D243EE.861360A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vinamilk.com.v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hsx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i.com.v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2016-11-28T08:18:00Z</cp:lastPrinted>
  <dcterms:created xsi:type="dcterms:W3CDTF">2016-11-28T08:21:00Z</dcterms:created>
  <dcterms:modified xsi:type="dcterms:W3CDTF">2016-11-28T08:24:00Z</dcterms:modified>
</cp:coreProperties>
</file>